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元氏县总工会</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711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99BADF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元氏县总工会</w:t>
      </w:r>
    </w:p>
    <w:p w14:paraId="70DE7BA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F28CC6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元氏县总工会</w:t>
      </w:r>
    </w:p>
    <w:p w14:paraId="380BC7F0">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5E71E68C">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0E9D83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56B0EF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2D4D11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2C5879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A5211F5">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08ACC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AD718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E814C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E9A94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A1DDD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0E264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01661A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2D84D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54BDA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45A8A4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5EC1ED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F1833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63710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D28DD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63B5A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8CF12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85904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1E63D2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706541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23F57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912957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9482D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5036CD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6D1A09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1、元氏县总工会是群团组织，是党联系群众的桥梁和纽带，主要职责是：组织职工开展民主选举、民主决策、民主管理和民主监督工作；推动基层工会建立集体合同制度、工资集体协商工作。 2、围绕县委、县政府提出的重点工程、重点项目和重点领域，组织全县职工开展劳动竞赛，大力推进实施职工经济技术创新工程。做好特困、困难职工的管理，及时建档、及时救助。加强困难劳模的管理和帮扶救助工作。 3、抓好机关、企事业工会组建，特别是新建企业工会组建工作，发展会员，建立工会组织，最大限度的把职工吸收到工会组织中来。规范职代会建设和工会组织规范化建设。 4、帮助职工通过学习科学、文化、技术知识，掌握从事岗位工作的本领。通过吸引职工参加各种活动，倡导企业文化，凝聚职工激情，使广大职工更加热爱祖国、热爱社会主义、热爱中国共产党、热爱中华民族；热爱企业、热爱本岗，逐步锻炼成为有理想、有道德、有文化、有纪律的社会主义劳动者。 5、加强工会自身建设，负责工会干部管理制度和培训规划制定以及培训工作；负责工会经费和工会资产的管理。 6、帮助和指导各级工会依照法律规定通过职工代表大会和其他形式，组织职工参与本单位的民主选举、民主决策、民主管理和民主监督，通过平等协商和集体合同制度，协调劳动关系，维护职工劳动权益；参与有关涉及职工切身利益的有关组织机构和工作会议，参与有关政策的制定和修改，参与职工安全事故的调查处理。 7、组织和动员职工群众围绕经济建设中心，积极开展经济技术创新工程、劳动竞赛、合理化建议、技术革新等活动，努力完成生产和工作任务，促进县域经济和社会发展目标任务的实现。组织开展“创建学习型组织，争做知识型技能型职工”活动，教育职工不断提高思想道德、技术业务和科学文化素质，培养和造就有理想、有道德、有文化、有纪律的职工队伍，推动全县文明建设协调发展，为构建和谐元氏作贡献。 8、协助县政府做好劳动模范的推荐、评选和管理工作；协助上级工会做好县内全国、省、市劳动模范及 </w:t>
      </w:r>
      <w:r>
        <w:rPr>
          <w:rFonts w:hint="eastAsia" w:ascii="Times New Roman" w:eastAsia="仿宋_GB2312"/>
          <w:b w:val="0"/>
          <w:sz w:val="32"/>
          <w:szCs w:val="32"/>
          <w:lang w:eastAsia="zh-CN"/>
        </w:rPr>
        <w:t>“</w:t>
      </w:r>
      <w:r>
        <w:rPr>
          <w:rFonts w:ascii="Times New Roman" w:eastAsia="仿宋_GB2312"/>
          <w:b w:val="0"/>
          <w:sz w:val="32"/>
          <w:szCs w:val="32"/>
        </w:rPr>
        <w:t>五一</w:t>
      </w:r>
      <w:r>
        <w:rPr>
          <w:rFonts w:hint="eastAsia" w:ascii="Times New Roman" w:eastAsia="仿宋_GB2312"/>
          <w:b w:val="0"/>
          <w:sz w:val="32"/>
          <w:szCs w:val="32"/>
          <w:lang w:eastAsia="zh-CN"/>
        </w:rPr>
        <w:t>”</w:t>
      </w:r>
      <w:r>
        <w:rPr>
          <w:rFonts w:ascii="Times New Roman" w:eastAsia="仿宋_GB2312"/>
          <w:b w:val="0"/>
          <w:sz w:val="32"/>
          <w:szCs w:val="32"/>
        </w:rPr>
        <w:t>劳动奖章（奖状）的管理服务工作。协助县政府做好县级劳动模范的推荐、评选和管理工作。 9、协助县委、县政府和有关部门做好</w:t>
      </w:r>
      <w:bookmarkStart w:id="0" w:name="_GoBack"/>
      <w:bookmarkEnd w:id="0"/>
      <w:r>
        <w:rPr>
          <w:rFonts w:ascii="Times New Roman" w:eastAsia="仿宋_GB2312"/>
          <w:b w:val="0"/>
          <w:sz w:val="32"/>
          <w:szCs w:val="32"/>
        </w:rPr>
        <w:t>促进就业再就业工作，开展冬送温暖、夏送清凉、春送岗位、秋送助学和困难职工帮扶活动，管好用好送温暖专项资金和困难职工帮扶中心资金。为全县基层工会会员（职工）提供政策和法律援助服务，促进依法治会。 10、承办县委、县政府和市总工会交办的其他工作。</w:t>
      </w:r>
    </w:p>
    <w:p w14:paraId="238B80D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0E916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元氏县总工会</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参公事业</w:t>
            </w:r>
          </w:p>
        </w:tc>
        <w:tc>
          <w:tcPr>
            <w:tcW w:w="2665" w:type="dxa"/>
          </w:tcPr>
          <w:p w14:paraId="3FEF84E0">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54B1E9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部门（单位）：元氏县总工会</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374.62</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6DA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BBB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054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群众团体事务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A58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428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85F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B93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24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534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A1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CD6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729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19D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2F4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5D5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1FE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17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E8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83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CE8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82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02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7C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EDA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244.10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D42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244.10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7BD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00A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449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150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81D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7C8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733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D0C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BEB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706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812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EDB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414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F0A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FA9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CE9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75F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B86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FAE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0E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E73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317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CE9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C7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A34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DB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249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670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65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25D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5D8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95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1FB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1E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D1D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5E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921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80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CCC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CC1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E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D84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201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8BC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18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2E0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574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985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B43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CA6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5B0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DBD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A43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1F4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888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4A0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0C4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000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18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B8C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A2E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C1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D09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F67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A0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361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541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154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DA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1D5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D37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11A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438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E0B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174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30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D61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BED9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272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18D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65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03B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0F0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D27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0B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30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B8B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878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841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4E5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BAF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D1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CEA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0E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554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667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D8E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0D6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FEC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C6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9C2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696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EBC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25B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A86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C27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ABA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51C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866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D4E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9D5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DCE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F117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29E12">
            <w:pPr>
              <w:jc w:val="right"/>
              <w:rPr>
                <w:rFonts w:hint="default" w:ascii="Times New Roman" w:hAnsi="Times New Roman" w:eastAsia="宋体" w:cs="Times New Roman"/>
                <w:i w:val="0"/>
                <w:iCs w:val="0"/>
                <w:color w:val="000000"/>
                <w:sz w:val="20"/>
                <w:szCs w:val="20"/>
                <w:highlight w:val="none"/>
                <w:u w:val="none"/>
              </w:rPr>
            </w:pPr>
          </w:p>
        </w:tc>
      </w:tr>
      <w:tr w14:paraId="0A5E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801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0F7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74C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6E1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1E65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0AF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A02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954C7">
            <w:pPr>
              <w:jc w:val="right"/>
              <w:rPr>
                <w:rFonts w:hint="default" w:ascii="Times New Roman" w:hAnsi="Times New Roman" w:eastAsia="宋体" w:cs="Times New Roman"/>
                <w:i w:val="0"/>
                <w:iCs w:val="0"/>
                <w:color w:val="000000"/>
                <w:sz w:val="20"/>
                <w:szCs w:val="20"/>
                <w:highlight w:val="none"/>
                <w:u w:val="none"/>
              </w:rPr>
            </w:pPr>
          </w:p>
        </w:tc>
      </w:tr>
      <w:tr w14:paraId="0F4D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415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866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68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354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07F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C2F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32A4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8459D">
            <w:pPr>
              <w:jc w:val="right"/>
              <w:rPr>
                <w:rFonts w:hint="default" w:ascii="Times New Roman" w:hAnsi="Times New Roman" w:eastAsia="宋体" w:cs="Times New Roman"/>
                <w:i w:val="0"/>
                <w:iCs w:val="0"/>
                <w:color w:val="000000"/>
                <w:sz w:val="20"/>
                <w:szCs w:val="20"/>
                <w:highlight w:val="none"/>
                <w:u w:val="none"/>
              </w:rPr>
            </w:pPr>
          </w:p>
        </w:tc>
      </w:tr>
      <w:tr w14:paraId="1D64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B79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51E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0A6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BF2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3BF9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72E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57F9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7405C">
            <w:pPr>
              <w:jc w:val="right"/>
              <w:rPr>
                <w:rFonts w:hint="default" w:ascii="Times New Roman" w:hAnsi="Times New Roman" w:eastAsia="宋体" w:cs="Times New Roman"/>
                <w:i w:val="0"/>
                <w:iCs w:val="0"/>
                <w:color w:val="000000"/>
                <w:sz w:val="20"/>
                <w:szCs w:val="20"/>
                <w:highlight w:val="none"/>
                <w:u w:val="none"/>
              </w:rPr>
            </w:pPr>
          </w:p>
        </w:tc>
      </w:tr>
      <w:tr w14:paraId="2C1F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D7D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585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64A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78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C41E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5ED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906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E3035">
            <w:pPr>
              <w:jc w:val="right"/>
              <w:rPr>
                <w:rFonts w:hint="default" w:ascii="Times New Roman" w:hAnsi="Times New Roman" w:eastAsia="宋体" w:cs="Times New Roman"/>
                <w:i w:val="0"/>
                <w:iCs w:val="0"/>
                <w:color w:val="000000"/>
                <w:sz w:val="20"/>
                <w:szCs w:val="20"/>
                <w:highlight w:val="none"/>
                <w:u w:val="none"/>
              </w:rPr>
            </w:pPr>
          </w:p>
        </w:tc>
      </w:tr>
      <w:tr w14:paraId="37B0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103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83D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CCB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60C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8F6B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D57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DDF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0745D">
            <w:pPr>
              <w:jc w:val="right"/>
              <w:rPr>
                <w:rFonts w:hint="default" w:ascii="Times New Roman" w:hAnsi="Times New Roman" w:eastAsia="宋体" w:cs="Times New Roman"/>
                <w:i w:val="0"/>
                <w:iCs w:val="0"/>
                <w:color w:val="000000"/>
                <w:sz w:val="20"/>
                <w:szCs w:val="20"/>
                <w:highlight w:val="none"/>
                <w:u w:val="none"/>
              </w:rPr>
            </w:pPr>
          </w:p>
        </w:tc>
      </w:tr>
      <w:tr w14:paraId="5BF6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830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15A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D6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68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05F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F64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E55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73A8D">
            <w:pPr>
              <w:jc w:val="right"/>
              <w:rPr>
                <w:rFonts w:hint="default" w:ascii="Times New Roman" w:hAnsi="Times New Roman" w:eastAsia="宋体" w:cs="Times New Roman"/>
                <w:i w:val="0"/>
                <w:iCs w:val="0"/>
                <w:color w:val="000000"/>
                <w:sz w:val="20"/>
                <w:szCs w:val="20"/>
                <w:highlight w:val="none"/>
                <w:u w:val="none"/>
              </w:rPr>
            </w:pPr>
          </w:p>
        </w:tc>
      </w:tr>
      <w:tr w14:paraId="7BE98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775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596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972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35A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53D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DAEF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604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9FB42">
            <w:pPr>
              <w:jc w:val="right"/>
              <w:rPr>
                <w:rFonts w:hint="default" w:ascii="Times New Roman" w:hAnsi="Times New Roman" w:eastAsia="宋体" w:cs="Times New Roman"/>
                <w:i w:val="0"/>
                <w:iCs w:val="0"/>
                <w:color w:val="000000"/>
                <w:sz w:val="20"/>
                <w:szCs w:val="20"/>
                <w:highlight w:val="none"/>
                <w:u w:val="none"/>
              </w:rPr>
            </w:pPr>
          </w:p>
        </w:tc>
      </w:tr>
      <w:tr w14:paraId="5FE42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84F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D3D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095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CE8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9435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5FC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21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7D61E">
            <w:pPr>
              <w:jc w:val="right"/>
              <w:rPr>
                <w:rFonts w:hint="default" w:ascii="Times New Roman" w:hAnsi="Times New Roman" w:eastAsia="宋体" w:cs="Times New Roman"/>
                <w:i w:val="0"/>
                <w:iCs w:val="0"/>
                <w:color w:val="000000"/>
                <w:sz w:val="20"/>
                <w:szCs w:val="20"/>
                <w:highlight w:val="none"/>
                <w:u w:val="none"/>
              </w:rPr>
            </w:pPr>
          </w:p>
        </w:tc>
      </w:tr>
      <w:tr w14:paraId="7398C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1B8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05F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8D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879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5E7F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5C3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9060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BC4B2">
            <w:pPr>
              <w:jc w:val="right"/>
              <w:rPr>
                <w:rFonts w:hint="default" w:ascii="Times New Roman" w:hAnsi="Times New Roman" w:eastAsia="宋体" w:cs="Times New Roman"/>
                <w:i w:val="0"/>
                <w:iCs w:val="0"/>
                <w:color w:val="000000"/>
                <w:sz w:val="20"/>
                <w:szCs w:val="20"/>
                <w:highlight w:val="none"/>
                <w:u w:val="none"/>
              </w:rPr>
            </w:pPr>
          </w:p>
        </w:tc>
      </w:tr>
      <w:tr w14:paraId="04B21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59C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85A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DC6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947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38B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A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72C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BA30E">
            <w:pPr>
              <w:jc w:val="right"/>
              <w:rPr>
                <w:rFonts w:hint="default" w:ascii="Times New Roman" w:hAnsi="Times New Roman" w:eastAsia="宋体" w:cs="Times New Roman"/>
                <w:i w:val="0"/>
                <w:iCs w:val="0"/>
                <w:color w:val="000000"/>
                <w:sz w:val="20"/>
                <w:szCs w:val="20"/>
                <w:highlight w:val="none"/>
                <w:u w:val="none"/>
              </w:rPr>
            </w:pPr>
          </w:p>
        </w:tc>
      </w:tr>
      <w:tr w14:paraId="72007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4801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C05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9D6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51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0A9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7D3D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336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9EEEE">
            <w:pPr>
              <w:jc w:val="right"/>
              <w:rPr>
                <w:rFonts w:hint="default" w:ascii="Times New Roman" w:hAnsi="Times New Roman" w:eastAsia="宋体" w:cs="Times New Roman"/>
                <w:i w:val="0"/>
                <w:iCs w:val="0"/>
                <w:color w:val="000000"/>
                <w:sz w:val="20"/>
                <w:szCs w:val="20"/>
                <w:highlight w:val="none"/>
                <w:u w:val="none"/>
              </w:rPr>
            </w:pPr>
          </w:p>
        </w:tc>
      </w:tr>
      <w:tr w14:paraId="712A6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50A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F75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8A6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821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EB9B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128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7B9F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6A940">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403.38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290"/>
        <w:gridCol w:w="942"/>
        <w:gridCol w:w="1003"/>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部门（单位）：元氏县总工会</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244.10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r>
      <w:tr w14:paraId="4A66E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85821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BE1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70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95E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088E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r>
      <w:tr w14:paraId="27AF1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3C28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53A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6FF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AE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3E953B">
            <w:pPr>
              <w:jc w:val="right"/>
              <w:rPr>
                <w:rFonts w:hint="default" w:ascii="Times New Roman" w:hAnsi="Times New Roman" w:eastAsia="宋体" w:cs="Times New Roman"/>
                <w:i w:val="0"/>
                <w:iCs w:val="0"/>
                <w:color w:val="000000"/>
                <w:sz w:val="20"/>
                <w:szCs w:val="20"/>
                <w:highlight w:val="none"/>
                <w:u w:val="none"/>
              </w:rPr>
            </w:pPr>
          </w:p>
        </w:tc>
      </w:tr>
      <w:tr w14:paraId="3BBE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D2F2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D0D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7C1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4A2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B649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r>
      <w:tr w14:paraId="537FE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2980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EC1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566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736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CF2795">
            <w:pPr>
              <w:jc w:val="right"/>
              <w:rPr>
                <w:rFonts w:hint="default" w:ascii="Times New Roman" w:hAnsi="Times New Roman" w:eastAsia="宋体" w:cs="Times New Roman"/>
                <w:i w:val="0"/>
                <w:iCs w:val="0"/>
                <w:color w:val="000000"/>
                <w:sz w:val="20"/>
                <w:szCs w:val="20"/>
                <w:highlight w:val="none"/>
                <w:u w:val="none"/>
              </w:rPr>
            </w:pPr>
          </w:p>
        </w:tc>
      </w:tr>
      <w:tr w14:paraId="78704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233E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6DA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BB8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B66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15EBBE">
            <w:pPr>
              <w:jc w:val="right"/>
              <w:rPr>
                <w:rFonts w:hint="default" w:ascii="Times New Roman" w:hAnsi="Times New Roman" w:eastAsia="宋体" w:cs="Times New Roman"/>
                <w:i w:val="0"/>
                <w:iCs w:val="0"/>
                <w:color w:val="000000"/>
                <w:sz w:val="20"/>
                <w:szCs w:val="20"/>
                <w:highlight w:val="none"/>
                <w:u w:val="none"/>
              </w:rPr>
            </w:pPr>
          </w:p>
        </w:tc>
      </w:tr>
      <w:tr w14:paraId="4B02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7661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106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40E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367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8DDFDD">
            <w:pPr>
              <w:jc w:val="right"/>
              <w:rPr>
                <w:rFonts w:hint="default" w:ascii="Times New Roman" w:hAnsi="Times New Roman" w:eastAsia="宋体" w:cs="Times New Roman"/>
                <w:i w:val="0"/>
                <w:iCs w:val="0"/>
                <w:color w:val="000000"/>
                <w:sz w:val="20"/>
                <w:szCs w:val="20"/>
                <w:highlight w:val="none"/>
                <w:u w:val="none"/>
              </w:rPr>
            </w:pPr>
          </w:p>
        </w:tc>
      </w:tr>
      <w:tr w14:paraId="0EB68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18BA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5D8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2EC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515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9216D8">
            <w:pPr>
              <w:jc w:val="right"/>
              <w:rPr>
                <w:rFonts w:hint="default" w:ascii="Times New Roman" w:hAnsi="Times New Roman" w:eastAsia="宋体" w:cs="Times New Roman"/>
                <w:i w:val="0"/>
                <w:iCs w:val="0"/>
                <w:color w:val="000000"/>
                <w:sz w:val="20"/>
                <w:szCs w:val="20"/>
                <w:highlight w:val="none"/>
                <w:u w:val="none"/>
              </w:rPr>
            </w:pPr>
          </w:p>
        </w:tc>
      </w:tr>
      <w:tr w14:paraId="42E96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85ED9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876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31E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1F1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2CABA2">
            <w:pPr>
              <w:jc w:val="right"/>
              <w:rPr>
                <w:rFonts w:hint="default" w:ascii="Times New Roman" w:hAnsi="Times New Roman" w:eastAsia="宋体" w:cs="Times New Roman"/>
                <w:i w:val="0"/>
                <w:iCs w:val="0"/>
                <w:color w:val="000000"/>
                <w:sz w:val="20"/>
                <w:szCs w:val="20"/>
                <w:highlight w:val="none"/>
                <w:u w:val="none"/>
              </w:rPr>
            </w:pPr>
          </w:p>
        </w:tc>
      </w:tr>
      <w:tr w14:paraId="406CB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231D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93D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BB3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5BE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C9CB67">
            <w:pPr>
              <w:jc w:val="right"/>
              <w:rPr>
                <w:rFonts w:hint="default" w:ascii="Times New Roman" w:hAnsi="Times New Roman" w:eastAsia="宋体" w:cs="Times New Roman"/>
                <w:i w:val="0"/>
                <w:iCs w:val="0"/>
                <w:color w:val="000000"/>
                <w:sz w:val="20"/>
                <w:szCs w:val="20"/>
                <w:highlight w:val="none"/>
                <w:u w:val="none"/>
              </w:rPr>
            </w:pPr>
          </w:p>
        </w:tc>
      </w:tr>
      <w:tr w14:paraId="117A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5C64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514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945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999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3405E0">
            <w:pPr>
              <w:jc w:val="right"/>
              <w:rPr>
                <w:rFonts w:hint="default" w:ascii="Times New Roman" w:hAnsi="Times New Roman" w:eastAsia="宋体" w:cs="Times New Roman"/>
                <w:i w:val="0"/>
                <w:iCs w:val="0"/>
                <w:color w:val="000000"/>
                <w:sz w:val="20"/>
                <w:szCs w:val="20"/>
                <w:highlight w:val="none"/>
                <w:u w:val="none"/>
              </w:rPr>
            </w:pPr>
          </w:p>
        </w:tc>
      </w:tr>
      <w:tr w14:paraId="0A82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8614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B96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DC2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3D4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DCB19A">
            <w:pPr>
              <w:jc w:val="right"/>
              <w:rPr>
                <w:rFonts w:hint="default" w:ascii="Times New Roman" w:hAnsi="Times New Roman" w:eastAsia="宋体" w:cs="Times New Roman"/>
                <w:i w:val="0"/>
                <w:iCs w:val="0"/>
                <w:color w:val="000000"/>
                <w:sz w:val="20"/>
                <w:szCs w:val="20"/>
                <w:highlight w:val="none"/>
                <w:u w:val="none"/>
              </w:rPr>
            </w:pPr>
          </w:p>
        </w:tc>
      </w:tr>
      <w:tr w14:paraId="3491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9CB1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2D7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28F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382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9F3C3E">
            <w:pPr>
              <w:jc w:val="right"/>
              <w:rPr>
                <w:rFonts w:hint="default" w:ascii="Times New Roman" w:hAnsi="Times New Roman" w:eastAsia="宋体" w:cs="Times New Roman"/>
                <w:i w:val="0"/>
                <w:iCs w:val="0"/>
                <w:color w:val="000000"/>
                <w:sz w:val="20"/>
                <w:szCs w:val="20"/>
                <w:highlight w:val="none"/>
                <w:u w:val="none"/>
              </w:rPr>
            </w:pPr>
          </w:p>
        </w:tc>
      </w:tr>
      <w:tr w14:paraId="286E1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B1D5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343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F4E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98F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D4139D">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部门（单位）：元氏县总工会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126.36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18.09</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24.80</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22.95</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2.46</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14.83</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5.99</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141.19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18.09</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部门（单位）：元氏县总工会</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部门（单位）：元氏县总工会</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4CF92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D34949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5C58A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本部门2025年度收、支总计（含结转和结余）均为403.38万元。与2024年度决算相比，收支各减少25.77万元，下降6.0%，主要原因是项目支出减少。。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C25F2C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9FE26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403.38万元，其中：财政拨款收入403.38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C2A659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93BB7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本部门2025年度本年支出合计403.38万元，其中：基本支出159.28万元，占39.5%；项目支出244.10万元，占60.5%；经营支出0.00万元，占0.0%；上缴上级支出0.00万元，占0.0%；对附属单位补助支出0.00万元，占0.0%。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7D3D1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3A62D8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46844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本部门2025年度财政拨款收、支总计（含结转和结余）均为403.38万元。与2024年度相比，财政拨款收支各减少25.77万元，降低6.0%，主要原因是项目支出减少。。</w:t>
      </w:r>
    </w:p>
    <w:p w14:paraId="1A341D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本部门2025年度财政拨款本年收入403.38万元,比上年减少25.77万元，降低6.0%，主要原因是项目支出减少。；本年支出403.38万元，比上年减少25.77万元，降低6.0%，主要原因是项目支出减少。。具体情况如下：</w:t>
      </w:r>
    </w:p>
    <w:p w14:paraId="2BACDE68">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一般公共预算财政拨款本年收入403.38万元,比上年减少25.77万元，降低6.0%，主要原因是项目支出减少。；本年支出403.38万元，比上年减少25.77万元，降低6.0%，主要原因是项目支出减少。。</w:t>
      </w:r>
    </w:p>
    <w:p w14:paraId="528631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政府性基金预算财政拨款本年收入0.00万元，比上年增加0.00万元，增长0.00%；本年支出0.00万元，比上年增加0.00万元，增长0.00%。</w:t>
      </w:r>
    </w:p>
    <w:p w14:paraId="5B4BE2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192BE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D2C5B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403.38万元，完成年初预算的93.0%，比年初预算减少30.13万元，决算数小于预算数主要原因是项目支出减少。；本年支出403.38万元，完成年初预算的93.0%，比年初预算减少30.13万元，决算数小于预算数主要原因是项目支出减少。。具体情况如下：</w:t>
      </w:r>
    </w:p>
    <w:p w14:paraId="75BC34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一般公共预算财政拨款本年收入完成年初预算的93.0%，比年初预算减少30.13万元，主要原因是项目支出减少。；支出完成年初预算的93.0%，比年初预算减少30.13万元，主要原因是项目支出减少。。</w:t>
      </w:r>
    </w:p>
    <w:p w14:paraId="3DFB17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政府性基金预算财政拨款本年收入完成年初预算的0.0%，比年初预算增加0.00万元；支出完成年初预算的0.0%，比年初预算增加0.00万元。</w:t>
      </w:r>
    </w:p>
    <w:p w14:paraId="093BF6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5ABEE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A65C1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2025年度财政拨款支出403.38万元，主要用于以下方面：</w:t>
      </w:r>
    </w:p>
    <w:p w14:paraId="47B91F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90C2C39">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一般公共服务（类）支出374.62万元，占92.9%，主要用于行政运行和一般行政事务管理</w:t>
      </w:r>
      <w:r>
        <w:rPr>
          <w:rFonts w:hint="eastAsia" w:ascii="Times New Roman" w:eastAsia="仿宋_GB2312"/>
          <w:b w:val="0"/>
          <w:sz w:val="32"/>
          <w:szCs w:val="32"/>
          <w:lang w:eastAsia="zh-CN"/>
        </w:rPr>
        <w:t>等支出，</w:t>
      </w:r>
      <w:r>
        <w:rPr>
          <w:rFonts w:ascii="Times New Roman" w:eastAsia="仿宋_GB2312"/>
          <w:b w:val="0"/>
          <w:sz w:val="32"/>
          <w:szCs w:val="32"/>
        </w:rPr>
        <w:t>社会保障和就业 （类）支出11.40万元，占2.8%，主要用于机关事业单位基本养老保险缴费</w:t>
      </w:r>
      <w:r>
        <w:rPr>
          <w:rFonts w:hint="eastAsia" w:ascii="Times New Roman" w:eastAsia="仿宋_GB2312"/>
          <w:b w:val="0"/>
          <w:sz w:val="32"/>
          <w:szCs w:val="32"/>
          <w:lang w:eastAsia="zh-CN"/>
        </w:rPr>
        <w:t>等支出</w:t>
      </w:r>
      <w:r>
        <w:rPr>
          <w:rFonts w:ascii="Times New Roman" w:eastAsia="仿宋_GB2312"/>
          <w:b w:val="0"/>
          <w:sz w:val="32"/>
          <w:szCs w:val="32"/>
        </w:rPr>
        <w:t>；卫生健康（类）支出6.89万元，占1.7%，</w:t>
      </w:r>
      <w:r>
        <w:rPr>
          <w:rFonts w:hint="eastAsia" w:ascii="Times New Roman" w:eastAsia="仿宋_GB2312"/>
          <w:b w:val="0"/>
          <w:sz w:val="32"/>
          <w:szCs w:val="32"/>
          <w:lang w:eastAsia="zh-CN"/>
        </w:rPr>
        <w:t>主要用于</w:t>
      </w:r>
      <w:r>
        <w:rPr>
          <w:rFonts w:ascii="Times New Roman" w:eastAsia="仿宋_GB2312"/>
          <w:b w:val="0"/>
          <w:sz w:val="32"/>
          <w:szCs w:val="32"/>
        </w:rPr>
        <w:t>职工基本医疗保险费和公务员医疗补助缴费</w:t>
      </w:r>
      <w:r>
        <w:rPr>
          <w:rFonts w:hint="eastAsia" w:ascii="Times New Roman" w:eastAsia="仿宋_GB2312"/>
          <w:b w:val="0"/>
          <w:sz w:val="32"/>
          <w:szCs w:val="32"/>
          <w:lang w:eastAsia="zh-CN"/>
        </w:rPr>
        <w:t>等支出</w:t>
      </w:r>
      <w:r>
        <w:rPr>
          <w:rFonts w:ascii="Times New Roman" w:eastAsia="仿宋_GB2312"/>
          <w:b w:val="0"/>
          <w:sz w:val="32"/>
          <w:szCs w:val="32"/>
        </w:rPr>
        <w:t>；住房保障（类）支出10.47万元，占2.6%，主要用于住房公积金</w:t>
      </w:r>
      <w:r>
        <w:rPr>
          <w:rFonts w:hint="eastAsia" w:ascii="Times New Roman" w:eastAsia="仿宋_GB2312"/>
          <w:b w:val="0"/>
          <w:sz w:val="32"/>
          <w:szCs w:val="32"/>
          <w:lang w:eastAsia="zh-CN"/>
        </w:rPr>
        <w:t>等支出。</w:t>
      </w:r>
    </w:p>
    <w:p w14:paraId="42B027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8FA35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424426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33CFF9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312BD9B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ECACD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2025年度财政拨款基本支出159.28万元，其中：</w:t>
      </w:r>
    </w:p>
    <w:p w14:paraId="0EB0C1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141.19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652A4C06">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ascii="Times New Roman" w:eastAsia="仿宋_GB2312"/>
          <w:b w:val="0"/>
          <w:sz w:val="32"/>
          <w:szCs w:val="32"/>
        </w:rPr>
        <w:t>公用经费18.09万元，主要包括办公费、、邮电费、取暖费、物业管理费、、公务接待费、工会经费、福利费、公务用车运行维护费、其他交通费用</w:t>
      </w:r>
      <w:r>
        <w:rPr>
          <w:rFonts w:hint="eastAsia" w:ascii="Times New Roman" w:eastAsia="仿宋_GB2312"/>
          <w:b w:val="0"/>
          <w:sz w:val="32"/>
          <w:szCs w:val="32"/>
          <w:lang w:val="en-US" w:eastAsia="zh-CN"/>
        </w:rPr>
        <w:t>等</w:t>
      </w:r>
    </w:p>
    <w:p w14:paraId="6C78E2D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2BAB7A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37F9C3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本部门2025年度“三公”经费财政拨款支出预算为2.60万元，支出决算为2.60万元，完成预算的100.0%，较预算增加0.00万元，增长0.0%，主要原因是；较2024年度决算增加0.00万元，增长0.0%，主要原因是。</w:t>
      </w:r>
    </w:p>
    <w:p w14:paraId="26A74DC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E7937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0个、共0人/无本部门组织的出国（境）团组。</w:t>
      </w:r>
    </w:p>
    <w:p w14:paraId="3C98BF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本部门2025年度公务用车购置及运行维护费预算为2.60万元，支出决算2.60万元，完成预算的100.0%,较预算增加0.00万元，增长0.0%,主要原因是；较上年增加0.00万元，增长0.0%,主要原因是。其中：</w:t>
      </w:r>
    </w:p>
    <w:p w14:paraId="59BD5CB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本部门2025年度公务用车购置量0辆，发生“公务用车购置”经费支出0.00万元。公务用车购置费支出较预算增加0.00万元，增长0.0%,主要原因是；较上年增加0.00万元，增长0.00%,主要原因是。</w:t>
      </w:r>
    </w:p>
    <w:p w14:paraId="69C865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公务用车运行维护费支出2.60万元：</w:t>
      </w:r>
      <w:r>
        <w:rPr>
          <w:rFonts w:ascii="Times New Roman" w:eastAsia="仿宋_GB2312"/>
          <w:b w:val="0"/>
          <w:sz w:val="32"/>
          <w:szCs w:val="32"/>
        </w:rPr>
        <w:t>本部门2025年度单位公务用车保有量1辆，发生运行维护费支出2.60万元。公车运行维护费支出较预算增加0.00万元，增长0.0%,主要原因是；较上年增加0.00万元，增长0.0%，主要原因是。</w:t>
      </w:r>
    </w:p>
    <w:p w14:paraId="4A31F9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较上年度增加0.00万元，增长0.00%,主要原因是。本年度共发生公务接待0批次、0人次。</w:t>
      </w:r>
    </w:p>
    <w:p w14:paraId="5AD091D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22472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本部门2025年度机关运行经费支出18.09万元，较2024年度增加0.32万元，增长1.8%。主要原因是办公费增加。</w:t>
      </w:r>
    </w:p>
    <w:p w14:paraId="2F1E6C5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FC1A2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392C32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95457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2392301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69AC64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F8CAF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244.10万元（决算金额）。其中，一般公共预算项目4个，涉及资金244.10万元，占一般公共预算项目支出总额的100%；政府性基金预算项目个，涉及资金万元，占政府性基金预算项目支出总额的%；国有资本经营预算项目个，涉及资金万元，占国有资本经营预算项目支出总额的%。</w:t>
      </w:r>
    </w:p>
    <w:p w14:paraId="7021A4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工会经费等4个项目开展了部门重点评价，涉及一般公共预算支出244.10万元，政府性基金预算支出0万元，国有资本经营预算支出0万元，从评价情况来看，各项目是实施运行、资金拨付，项目资金管理规范、项目管理到位、政策执行有力有效发挥了财政资金的使用效率，完成了项目资金管理和使用规范工作。一定程度确保了各项工作正常运转。。</w:t>
      </w:r>
    </w:p>
    <w:p w14:paraId="796D56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47138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本部门在今年部门决算公开中反映工会经费等4个项目绩效自评结果。</w:t>
      </w:r>
    </w:p>
    <w:p w14:paraId="132C4B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工会经费项目绩效自评情况：根据年初设定的绩效目标，工会经费项目绩效自评得分为100分（绩效自评表附后）。全年预算数为221.69万元，执行数为221.69万元，完成预算的100%。项目绩效目标完成情况：一是开展好工会各项工作；二是成职工技能培训100%。发现的主要问题及原因是：一是预算项目指标设定还需进一步详尽；二是绩效指标应充分体现“结果”导向作用。下一步改进措施：一是进一步提高对绩效工作的认识，将绩效评价结果和项目预算编制执行有效结合；二是按照结果导向原则做好项目绩效设定工作。。</w:t>
      </w:r>
    </w:p>
    <w:p w14:paraId="188B8D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DF1CC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通过绩效评价，部门整体绩效支出综合得分100分，项目综合绩效评价为优秀。</w:t>
      </w:r>
    </w:p>
    <w:p w14:paraId="02FEA541">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6F5A5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0B04D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E7D65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5A818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9BBB8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DE53A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F30D9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B69FF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522299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C5B53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D2FA4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31A0C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AD52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98E12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1E4DF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1B9E4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9E944B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5A58EC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C1047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5E9B8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BEEFD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F5D3193-155A-4721-AD5B-E75DD784E526}"/>
  </w:font>
  <w:font w:name="黑体">
    <w:panose1 w:val="02010609060101010101"/>
    <w:charset w:val="86"/>
    <w:family w:val="auto"/>
    <w:pitch w:val="default"/>
    <w:sig w:usb0="800002BF" w:usb1="38CF7CFA" w:usb2="00000016" w:usb3="00000000" w:csb0="00040001" w:csb1="00000000"/>
    <w:embedRegular r:id="rId2" w:fontKey="{3634C0D6-A64D-4D82-A491-5DC5DB1D05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8E6562C-7185-44D3-A8C1-313C27B1888E}"/>
  </w:font>
  <w:font w:name="仿宋">
    <w:panose1 w:val="02010609060101010101"/>
    <w:charset w:val="86"/>
    <w:family w:val="modern"/>
    <w:pitch w:val="default"/>
    <w:sig w:usb0="800002BF" w:usb1="38CF7CFA" w:usb2="00000016" w:usb3="00000000" w:csb0="00040001" w:csb1="00000000"/>
    <w:embedRegular r:id="rId4" w:fontKey="{B543430B-F24B-4D46-A0DF-273D2104D7B1}"/>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D29DF4DD-3617-4AA3-921B-90D6F6E19298}"/>
  </w:font>
  <w:font w:name="楷体_GB2312">
    <w:panose1 w:val="02010609030101010101"/>
    <w:charset w:val="86"/>
    <w:family w:val="auto"/>
    <w:pitch w:val="default"/>
    <w:sig w:usb0="00000001" w:usb1="080E0000" w:usb2="00000000" w:usb3="00000000" w:csb0="00040000" w:csb1="00000000"/>
    <w:embedRegular r:id="rId6" w:fontKey="{6B6FD25F-149A-4161-AF50-8792ACB2F9E3}"/>
  </w:font>
  <w:font w:name="微软雅黑">
    <w:panose1 w:val="020B0503020204020204"/>
    <w:charset w:val="86"/>
    <w:family w:val="auto"/>
    <w:pitch w:val="default"/>
    <w:sig w:usb0="80000287" w:usb1="2ACF3C50" w:usb2="00000016" w:usb3="00000000" w:csb0="0004001F" w:csb1="00000000"/>
    <w:embedRegular r:id="rId7" w:fontKey="{1C14863D-9D86-45A1-971C-3DE11C568B83}"/>
  </w:font>
  <w:font w:name="方正小标宋_GBK">
    <w:panose1 w:val="02000000000000000000"/>
    <w:charset w:val="86"/>
    <w:family w:val="script"/>
    <w:pitch w:val="default"/>
    <w:sig w:usb0="A00002BF" w:usb1="38CF7CFA" w:usb2="00082016" w:usb3="00000000" w:csb0="00040001" w:csb1="00000000"/>
    <w:embedRegular r:id="rId8" w:fontKey="{C818399C-A1A2-46B4-BE97-51E18A9B6368}"/>
  </w:font>
  <w:font w:name="仿宋_GB2312">
    <w:panose1 w:val="02010609030101010101"/>
    <w:charset w:val="86"/>
    <w:family w:val="auto"/>
    <w:pitch w:val="default"/>
    <w:sig w:usb0="00000001" w:usb1="080E0000" w:usb2="00000000" w:usb3="00000000" w:csb0="00040000" w:csb1="00000000"/>
    <w:embedRegular r:id="rId9" w:fontKey="{C3E7380E-E546-4930-80C6-773EA16D79A8}"/>
  </w:font>
  <w:font w:name="ArialUnicodeMS">
    <w:altName w:val="Malgun Gothic"/>
    <w:panose1 w:val="00000000000000000000"/>
    <w:charset w:val="81"/>
    <w:family w:val="auto"/>
    <w:pitch w:val="default"/>
    <w:sig w:usb0="00000000" w:usb1="00000000" w:usb2="00000010" w:usb3="00000000" w:csb0="00080001" w:csb1="00000000"/>
    <w:embedRegular r:id="rId10" w:fontKey="{DF78F662-8803-440C-905B-40DB6EC58895}"/>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4BC5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33F6F">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3A1E5">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2FB23">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FD33F5"/>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A761D5"/>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E27EB0"/>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6645F"/>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5F7F87"/>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896C9B"/>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403.38</c:v>
                </c:pt>
                <c:pt idx="1">
                  <c:v>429.14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4033790.06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1592787.52</c:v>
                </c:pt>
                <c:pt idx="1">
                  <c:v>2441002.54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429.14</c:v>
                </c:pt>
                <c:pt idx="1">
                  <c:v>429.14</c:v>
                </c:pt>
                <c:pt idx="2">
                  <c:v>429.14</c:v>
                </c:pt>
                <c:pt idx="3">
                  <c:v>429.14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403.38</c:v>
                </c:pt>
                <c:pt idx="1">
                  <c:v>403.38</c:v>
                </c:pt>
                <c:pt idx="2">
                  <c:v>403.38</c:v>
                </c:pt>
                <c:pt idx="3">
                  <c:v>403.38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433.51</c:v>
                </c:pt>
                <c:pt idx="1">
                  <c:v>433.51</c:v>
                </c:pt>
                <c:pt idx="2">
                  <c:v>433.51</c:v>
                </c:pt>
                <c:pt idx="3">
                  <c:v>433.51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403.38</c:v>
                </c:pt>
                <c:pt idx="1">
                  <c:v>403.38</c:v>
                </c:pt>
                <c:pt idx="2">
                  <c:v>403.38</c:v>
                </c:pt>
                <c:pt idx="3">
                  <c:v>403.38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2326</Words>
  <Characters>2634</Characters>
  <Lines>86</Lines>
  <Paragraphs>24</Paragraphs>
  <TotalTime>18</TotalTime>
  <ScaleCrop>false</ScaleCrop>
  <LinksUpToDate>false</LinksUpToDate>
  <CharactersWithSpaces>2755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2023-08-04T01:00:00Z</cp:lastPrinted>
  <dcterms:modified xsi:type="dcterms:W3CDTF">2026-09-21T07:39:16Z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0A25EB2DF98949599CDA7C091287F7BE_13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