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元氏县总工会(本级)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711001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648F5A5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元氏县总工会(本级)</w:t>
      </w:r>
    </w:p>
    <w:p w14:paraId="3FEE464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14A216B">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元氏县总工会(本级)</w:t>
      </w:r>
    </w:p>
    <w:p w14:paraId="5048D41B">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534CD8C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46484E3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34A734C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10C41D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0F16D9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AEEBB4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65CBDC6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1E2DE4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4AEFCE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1EE93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95572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0D263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F19E45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5A9516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65C85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78F8301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D2159B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4CC6D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BB4DE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1FCBC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013B27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AAAD8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EAC22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0AE935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BA3DE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E2195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55B640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61F414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DFF1D0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481AA3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1、元氏县总工会是群团组织，是党联系群众的桥梁和纽带，主要职责是：组织职工开展民主选举、民主决策、民主管理和民主监督工作；推动基层工会建立集体合同制度、工资集体协商工作。 2、围绕县委、县政府提出的重点工程、重点项目和重点领域，组织全县职工开展劳动竞赛，大力推进实施职工经济技术创新工程。做好特困、困难职工的管理，及时建档、及时救助。加强困难劳模的管理和帮扶救助工作。 3、抓好机关、企事业工会组建，特别是新建企业工会组建工作，发展会员，建立工会组织，最大限度的把职工吸收到工会组织中来。规范职代会建设和工会组织规范化建设。 4、帮助职工通过学习科学、文化、技术知识，掌握从事岗位工作的本领。通过吸引职工参加各种活动，倡导企业文化，凝聚职工激情，使广大职工更加热爱祖国、热爱社会主义、热爱中国共产党、热爱中华民族；热爱企业、热爱本岗，逐步锻炼成为有理想、有道德、有文化、有纪律的社会主义劳动者。 5、加强工会自身建设，负责工会干部管理制度和培训规划制定以及培训工作；负责工会经费和工会资产的管理。 6、帮助和指导各级工会依照法律规定通过职工代表大会和其他形式，组织职工参与本单位的民主选举、民主决策、民主管理和民主监督，通过平等协商和集体合同制度，协调劳动关系，维护职工劳动权益；参与有关涉及职工切身利益的有关组织机构和工作会议，参与有关政策的制定和修改，参与职工安全事故的调查处理。 7、组织和动员职工群众围绕经济建设中心，积极开展经济技术创新工程、劳动竞赛、合理化建议、技术革新等活动，努力完成生产和工作任务，促进县域经济和社会发展目标任务的实现。组织开展“创建学习型组织，争做知识型技能型职工”活动，教育职工不断提高思想道德、技术业务和科学文化素质，培养和造就有理想、有道德、有文化、有纪律的职工队伍，推动全县文明建设协调发展，为构建和谐元氏作贡献。 8、协助县政府做好劳动模范的推荐、评选和管理工作；协助上级工会做好县内全国、省、市劳动模范及</w:t>
      </w:r>
      <w:bookmarkStart w:id="0" w:name="_GoBack"/>
      <w:bookmarkEnd w:id="0"/>
      <w:r>
        <w:rPr>
          <w:rFonts w:hint="eastAsia" w:ascii="Times New Roman" w:eastAsia="仿宋_GB2312"/>
          <w:b w:val="0"/>
          <w:sz w:val="32"/>
          <w:szCs w:val="32"/>
          <w:lang w:eastAsia="zh-CN"/>
        </w:rPr>
        <w:t>“</w:t>
      </w:r>
      <w:r>
        <w:rPr>
          <w:rFonts w:ascii="Times New Roman" w:eastAsia="仿宋_GB2312"/>
          <w:b w:val="0"/>
          <w:sz w:val="32"/>
          <w:szCs w:val="32"/>
        </w:rPr>
        <w:t>五一</w:t>
      </w:r>
      <w:r>
        <w:rPr>
          <w:rFonts w:hint="eastAsia" w:ascii="Times New Roman" w:eastAsia="仿宋_GB2312"/>
          <w:b w:val="0"/>
          <w:sz w:val="32"/>
          <w:szCs w:val="32"/>
          <w:lang w:eastAsia="zh-CN"/>
        </w:rPr>
        <w:t>”</w:t>
      </w:r>
      <w:r>
        <w:rPr>
          <w:rFonts w:ascii="Times New Roman" w:eastAsia="仿宋_GB2312"/>
          <w:b w:val="0"/>
          <w:sz w:val="32"/>
          <w:szCs w:val="32"/>
        </w:rPr>
        <w:t>劳动奖章（奖状）的管理服务工作。协助县政府做好县级劳动模范的推荐、评选和管理工作。 9、协助县委、县政府和有关部门做好促进就业再就业工作，开展冬送温暖、夏送清凉、春送岗位、秋送助学和困难职工帮扶活动，管好用好送温暖专项资金和困难职工帮扶中心资金。为全县基层工会会员（职工）提供政策和法律援助服务，促进依法治会。 10、承办县委、县政府和市总工会交办的其他工作。</w:t>
      </w:r>
    </w:p>
    <w:p w14:paraId="5C9FEAF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A431F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元氏县总工会(本级)</w:t>
            </w:r>
          </w:p>
        </w:tc>
        <w:tc>
          <w:tcPr>
            <w:tcW w:w="2445" w:type="dxa"/>
          </w:tcPr>
          <w:p w14:paraId="2E443189">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参公事业</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1A65A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部门（单位）：元氏县总工会(本级)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374.62</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6.89</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部门（单位）：元氏县总工会(本级)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403.38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403.38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87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552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342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群众团体事务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550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FAE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AA5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023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F87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AA8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991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7E8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AF3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C066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1D1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658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130.52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F0C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CF4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B90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133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50B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629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5BE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2012902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09D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5DE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244.10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C0C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244.10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17E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6E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468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0A8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B34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968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B4E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88B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47E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69A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762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F22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0790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233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704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165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7C0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197E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169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799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C89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162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C11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40D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5EF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190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B0D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CF9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B14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A03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CB4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9DD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D29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FCE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FEF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C66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A262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0C9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C36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4C1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E00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A1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B62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51A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4E9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CE6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3C3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1AE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99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AEB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DE6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8C0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9DF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5C4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6D4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F23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8CE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002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725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489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66D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134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780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A83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12C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EAB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2F6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6AA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F93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9C0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6BC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B28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CE7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742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B22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C30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721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C53A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B18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A59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1AD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7CC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B13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D09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5C8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3F2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462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7DD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8BF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180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5CB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290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31F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054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BAD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5F4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0C3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11E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43E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4B1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499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B17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267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16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AA9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部门（单位）：元氏县总工会(本级)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23DD2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ECF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B74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群众团体事务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41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6D0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6E8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0362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294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F6434">
            <w:pPr>
              <w:jc w:val="right"/>
              <w:rPr>
                <w:rFonts w:hint="default" w:ascii="Times New Roman" w:hAnsi="Times New Roman" w:eastAsia="宋体" w:cs="Times New Roman"/>
                <w:i w:val="0"/>
                <w:iCs w:val="0"/>
                <w:color w:val="000000"/>
                <w:sz w:val="20"/>
                <w:szCs w:val="20"/>
                <w:highlight w:val="none"/>
                <w:u w:val="none"/>
              </w:rPr>
            </w:pPr>
          </w:p>
        </w:tc>
      </w:tr>
      <w:tr w14:paraId="1BEB7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0CD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7F7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D25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D61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B933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977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377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DB4DF">
            <w:pPr>
              <w:jc w:val="right"/>
              <w:rPr>
                <w:rFonts w:hint="default" w:ascii="Times New Roman" w:hAnsi="Times New Roman" w:eastAsia="宋体" w:cs="Times New Roman"/>
                <w:i w:val="0"/>
                <w:iCs w:val="0"/>
                <w:color w:val="000000"/>
                <w:sz w:val="20"/>
                <w:szCs w:val="20"/>
                <w:highlight w:val="none"/>
                <w:u w:val="none"/>
              </w:rPr>
            </w:pPr>
          </w:p>
        </w:tc>
      </w:tr>
      <w:tr w14:paraId="42A25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494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C84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975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BA5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5B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F9D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4354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65805">
            <w:pPr>
              <w:jc w:val="right"/>
              <w:rPr>
                <w:rFonts w:hint="default" w:ascii="Times New Roman" w:hAnsi="Times New Roman" w:eastAsia="宋体" w:cs="Times New Roman"/>
                <w:i w:val="0"/>
                <w:iCs w:val="0"/>
                <w:color w:val="000000"/>
                <w:sz w:val="20"/>
                <w:szCs w:val="20"/>
                <w:highlight w:val="none"/>
                <w:u w:val="none"/>
              </w:rPr>
            </w:pPr>
          </w:p>
        </w:tc>
      </w:tr>
      <w:tr w14:paraId="442F3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C20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E78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9A4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1C8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EEBC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42F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2296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92D32">
            <w:pPr>
              <w:jc w:val="right"/>
              <w:rPr>
                <w:rFonts w:hint="default" w:ascii="Times New Roman" w:hAnsi="Times New Roman" w:eastAsia="宋体" w:cs="Times New Roman"/>
                <w:i w:val="0"/>
                <w:iCs w:val="0"/>
                <w:color w:val="000000"/>
                <w:sz w:val="20"/>
                <w:szCs w:val="20"/>
                <w:highlight w:val="none"/>
                <w:u w:val="none"/>
              </w:rPr>
            </w:pPr>
          </w:p>
        </w:tc>
      </w:tr>
      <w:tr w14:paraId="712FB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392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808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5D6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EDA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54EA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F362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C18B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4BA4B">
            <w:pPr>
              <w:jc w:val="right"/>
              <w:rPr>
                <w:rFonts w:hint="default" w:ascii="Times New Roman" w:hAnsi="Times New Roman" w:eastAsia="宋体" w:cs="Times New Roman"/>
                <w:i w:val="0"/>
                <w:iCs w:val="0"/>
                <w:color w:val="000000"/>
                <w:sz w:val="20"/>
                <w:szCs w:val="20"/>
                <w:highlight w:val="none"/>
                <w:u w:val="none"/>
              </w:rPr>
            </w:pPr>
          </w:p>
        </w:tc>
      </w:tr>
      <w:tr w14:paraId="2AF9B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771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30B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65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13D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5321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418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4BAE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88D5F">
            <w:pPr>
              <w:jc w:val="right"/>
              <w:rPr>
                <w:rFonts w:hint="default" w:ascii="Times New Roman" w:hAnsi="Times New Roman" w:eastAsia="宋体" w:cs="Times New Roman"/>
                <w:i w:val="0"/>
                <w:iCs w:val="0"/>
                <w:color w:val="000000"/>
                <w:sz w:val="20"/>
                <w:szCs w:val="20"/>
                <w:highlight w:val="none"/>
                <w:u w:val="none"/>
              </w:rPr>
            </w:pPr>
          </w:p>
        </w:tc>
      </w:tr>
      <w:tr w14:paraId="18D55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6F1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883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9EB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B45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7EC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5EF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9E05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E563D">
            <w:pPr>
              <w:jc w:val="right"/>
              <w:rPr>
                <w:rFonts w:hint="default" w:ascii="Times New Roman" w:hAnsi="Times New Roman" w:eastAsia="宋体" w:cs="Times New Roman"/>
                <w:i w:val="0"/>
                <w:iCs w:val="0"/>
                <w:color w:val="000000"/>
                <w:sz w:val="20"/>
                <w:szCs w:val="20"/>
                <w:highlight w:val="none"/>
                <w:u w:val="none"/>
              </w:rPr>
            </w:pPr>
          </w:p>
        </w:tc>
      </w:tr>
      <w:tr w14:paraId="73C09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62F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151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A1A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985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076D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B34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059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61040">
            <w:pPr>
              <w:jc w:val="right"/>
              <w:rPr>
                <w:rFonts w:hint="default" w:ascii="Times New Roman" w:hAnsi="Times New Roman" w:eastAsia="宋体" w:cs="Times New Roman"/>
                <w:i w:val="0"/>
                <w:iCs w:val="0"/>
                <w:color w:val="000000"/>
                <w:sz w:val="20"/>
                <w:szCs w:val="20"/>
                <w:highlight w:val="none"/>
                <w:u w:val="none"/>
              </w:rPr>
            </w:pPr>
          </w:p>
        </w:tc>
      </w:tr>
      <w:tr w14:paraId="04BDB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EC5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BBA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82F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69F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72C1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E8B0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ACC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FC232">
            <w:pPr>
              <w:jc w:val="right"/>
              <w:rPr>
                <w:rFonts w:hint="default" w:ascii="Times New Roman" w:hAnsi="Times New Roman" w:eastAsia="宋体" w:cs="Times New Roman"/>
                <w:i w:val="0"/>
                <w:iCs w:val="0"/>
                <w:color w:val="000000"/>
                <w:sz w:val="20"/>
                <w:szCs w:val="20"/>
                <w:highlight w:val="none"/>
                <w:u w:val="none"/>
              </w:rPr>
            </w:pPr>
          </w:p>
        </w:tc>
      </w:tr>
      <w:tr w14:paraId="6193D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5C7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432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EF6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DEA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1E83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BD0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942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37C3A">
            <w:pPr>
              <w:jc w:val="right"/>
              <w:rPr>
                <w:rFonts w:hint="default" w:ascii="Times New Roman" w:hAnsi="Times New Roman" w:eastAsia="宋体" w:cs="Times New Roman"/>
                <w:i w:val="0"/>
                <w:iCs w:val="0"/>
                <w:color w:val="000000"/>
                <w:sz w:val="20"/>
                <w:szCs w:val="20"/>
                <w:highlight w:val="none"/>
                <w:u w:val="none"/>
              </w:rPr>
            </w:pPr>
          </w:p>
        </w:tc>
      </w:tr>
      <w:tr w14:paraId="02CF6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CD4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192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28B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D1F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E8D0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DFA4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C8A4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2C22C">
            <w:pPr>
              <w:jc w:val="right"/>
              <w:rPr>
                <w:rFonts w:hint="default" w:ascii="Times New Roman" w:hAnsi="Times New Roman" w:eastAsia="宋体" w:cs="Times New Roman"/>
                <w:i w:val="0"/>
                <w:iCs w:val="0"/>
                <w:color w:val="000000"/>
                <w:sz w:val="20"/>
                <w:szCs w:val="20"/>
                <w:highlight w:val="none"/>
                <w:u w:val="none"/>
              </w:rPr>
            </w:pPr>
          </w:p>
        </w:tc>
      </w:tr>
      <w:tr w14:paraId="22D06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C0E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154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95F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88C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F831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66B7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5EA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4681F">
            <w:pPr>
              <w:jc w:val="right"/>
              <w:rPr>
                <w:rFonts w:hint="default" w:ascii="Times New Roman" w:hAnsi="Times New Roman" w:eastAsia="宋体" w:cs="Times New Roman"/>
                <w:i w:val="0"/>
                <w:iCs w:val="0"/>
                <w:color w:val="000000"/>
                <w:sz w:val="20"/>
                <w:szCs w:val="20"/>
                <w:highlight w:val="none"/>
                <w:u w:val="none"/>
              </w:rPr>
            </w:pPr>
          </w:p>
        </w:tc>
      </w:tr>
      <w:tr w14:paraId="05502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DD3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C07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343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45C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389A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98A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A6C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EF8D5">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部门（单位）：元氏县总工会(本级)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374.62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374.62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403.38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290"/>
        <w:gridCol w:w="942"/>
        <w:gridCol w:w="1003"/>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部门（单位）：元氏县总工会(本级)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159.28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244.10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r>
      <w:tr w14:paraId="41101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8FEC8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8EB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群众团体事务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6A5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374.62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64F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F7C5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r>
      <w:tr w14:paraId="5EB73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AB82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99F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83C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EA7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F1B7DF">
            <w:pPr>
              <w:jc w:val="right"/>
              <w:rPr>
                <w:rFonts w:hint="default" w:ascii="Times New Roman" w:hAnsi="Times New Roman" w:eastAsia="宋体" w:cs="Times New Roman"/>
                <w:i w:val="0"/>
                <w:iCs w:val="0"/>
                <w:color w:val="000000"/>
                <w:sz w:val="20"/>
                <w:szCs w:val="20"/>
                <w:highlight w:val="none"/>
                <w:u w:val="none"/>
              </w:rPr>
            </w:pPr>
          </w:p>
        </w:tc>
      </w:tr>
      <w:tr w14:paraId="360E5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64F2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2012902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133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F5E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3D74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7C1E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244.10</w:t>
            </w:r>
          </w:p>
        </w:tc>
      </w:tr>
      <w:tr w14:paraId="339E4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7A4E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6FA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CA6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F66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DA2433">
            <w:pPr>
              <w:jc w:val="right"/>
              <w:rPr>
                <w:rFonts w:hint="default" w:ascii="Times New Roman" w:hAnsi="Times New Roman" w:eastAsia="宋体" w:cs="Times New Roman"/>
                <w:i w:val="0"/>
                <w:iCs w:val="0"/>
                <w:color w:val="000000"/>
                <w:sz w:val="20"/>
                <w:szCs w:val="20"/>
                <w:highlight w:val="none"/>
                <w:u w:val="none"/>
              </w:rPr>
            </w:pPr>
          </w:p>
        </w:tc>
      </w:tr>
      <w:tr w14:paraId="4A09A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716E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2BC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A1C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7AE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4612FA">
            <w:pPr>
              <w:jc w:val="right"/>
              <w:rPr>
                <w:rFonts w:hint="default" w:ascii="Times New Roman" w:hAnsi="Times New Roman" w:eastAsia="宋体" w:cs="Times New Roman"/>
                <w:i w:val="0"/>
                <w:iCs w:val="0"/>
                <w:color w:val="000000"/>
                <w:sz w:val="20"/>
                <w:szCs w:val="20"/>
                <w:highlight w:val="none"/>
                <w:u w:val="none"/>
              </w:rPr>
            </w:pPr>
          </w:p>
        </w:tc>
      </w:tr>
      <w:tr w14:paraId="3D030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887BF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0E0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49E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FBC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05EEB8">
            <w:pPr>
              <w:jc w:val="right"/>
              <w:rPr>
                <w:rFonts w:hint="default" w:ascii="Times New Roman" w:hAnsi="Times New Roman" w:eastAsia="宋体" w:cs="Times New Roman"/>
                <w:i w:val="0"/>
                <w:iCs w:val="0"/>
                <w:color w:val="000000"/>
                <w:sz w:val="20"/>
                <w:szCs w:val="20"/>
                <w:highlight w:val="none"/>
                <w:u w:val="none"/>
              </w:rPr>
            </w:pPr>
          </w:p>
        </w:tc>
      </w:tr>
      <w:tr w14:paraId="1A7EA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0E6EB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70D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546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69D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FC4798">
            <w:pPr>
              <w:jc w:val="right"/>
              <w:rPr>
                <w:rFonts w:hint="default" w:ascii="Times New Roman" w:hAnsi="Times New Roman" w:eastAsia="宋体" w:cs="Times New Roman"/>
                <w:i w:val="0"/>
                <w:iCs w:val="0"/>
                <w:color w:val="000000"/>
                <w:sz w:val="20"/>
                <w:szCs w:val="20"/>
                <w:highlight w:val="none"/>
                <w:u w:val="none"/>
              </w:rPr>
            </w:pPr>
          </w:p>
        </w:tc>
      </w:tr>
      <w:tr w14:paraId="585EA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8EB7E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11E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9B6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EA2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B75C15">
            <w:pPr>
              <w:jc w:val="right"/>
              <w:rPr>
                <w:rFonts w:hint="default" w:ascii="Times New Roman" w:hAnsi="Times New Roman" w:eastAsia="宋体" w:cs="Times New Roman"/>
                <w:i w:val="0"/>
                <w:iCs w:val="0"/>
                <w:color w:val="000000"/>
                <w:sz w:val="20"/>
                <w:szCs w:val="20"/>
                <w:highlight w:val="none"/>
                <w:u w:val="none"/>
              </w:rPr>
            </w:pPr>
          </w:p>
        </w:tc>
      </w:tr>
      <w:tr w14:paraId="239F9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570F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6F2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F84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31B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F9B87D">
            <w:pPr>
              <w:jc w:val="right"/>
              <w:rPr>
                <w:rFonts w:hint="default" w:ascii="Times New Roman" w:hAnsi="Times New Roman" w:eastAsia="宋体" w:cs="Times New Roman"/>
                <w:i w:val="0"/>
                <w:iCs w:val="0"/>
                <w:color w:val="000000"/>
                <w:sz w:val="20"/>
                <w:szCs w:val="20"/>
                <w:highlight w:val="none"/>
                <w:u w:val="none"/>
              </w:rPr>
            </w:pPr>
          </w:p>
        </w:tc>
      </w:tr>
      <w:tr w14:paraId="2353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24E8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6EE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16F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081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6C499E">
            <w:pPr>
              <w:jc w:val="right"/>
              <w:rPr>
                <w:rFonts w:hint="default" w:ascii="Times New Roman" w:hAnsi="Times New Roman" w:eastAsia="宋体" w:cs="Times New Roman"/>
                <w:i w:val="0"/>
                <w:iCs w:val="0"/>
                <w:color w:val="000000"/>
                <w:sz w:val="20"/>
                <w:szCs w:val="20"/>
                <w:highlight w:val="none"/>
                <w:u w:val="none"/>
              </w:rPr>
            </w:pPr>
          </w:p>
        </w:tc>
      </w:tr>
      <w:tr w14:paraId="3110C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CF98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BE8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2FF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A2C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324FBE">
            <w:pPr>
              <w:jc w:val="right"/>
              <w:rPr>
                <w:rFonts w:hint="default" w:ascii="Times New Roman" w:hAnsi="Times New Roman" w:eastAsia="宋体" w:cs="Times New Roman"/>
                <w:i w:val="0"/>
                <w:iCs w:val="0"/>
                <w:color w:val="000000"/>
                <w:sz w:val="20"/>
                <w:szCs w:val="20"/>
                <w:highlight w:val="none"/>
                <w:u w:val="none"/>
              </w:rPr>
            </w:pPr>
          </w:p>
        </w:tc>
      </w:tr>
      <w:tr w14:paraId="55733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F895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0CE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3F3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294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50A81E">
            <w:pPr>
              <w:jc w:val="right"/>
              <w:rPr>
                <w:rFonts w:hint="default" w:ascii="Times New Roman" w:hAnsi="Times New Roman" w:eastAsia="宋体" w:cs="Times New Roman"/>
                <w:i w:val="0"/>
                <w:iCs w:val="0"/>
                <w:color w:val="000000"/>
                <w:sz w:val="20"/>
                <w:szCs w:val="20"/>
                <w:highlight w:val="none"/>
                <w:u w:val="none"/>
              </w:rPr>
            </w:pPr>
          </w:p>
        </w:tc>
      </w:tr>
      <w:tr w14:paraId="3CDFF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60FC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E62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8E6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35D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C77124">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部门（单位）：元氏县总工会(本级)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126.36</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18.09</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49.53</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24.80</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22.95</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11.40</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4.60</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2.46</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0.32</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10.47</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14.83</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14.83</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0.80</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2.60</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5.99</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141.19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18.09</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部门（单位）：元氏县总工会(本级)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部门（单位）：元氏县总工会(本级)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部门（单位）：元氏县总工会(本级)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419162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D8A598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2B312E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本单位2025年度收、支总计（含结转和结余）均为403.38万元。与2024年度决算相比，收支各减少25.77万元，下降6.0%，主要原因是项目支出减少。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CECB77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14669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403.38万元，其中：财政拨款收入403.38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285D39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9DC35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本单位2025年度本年支出合计403.38万元，其中：基本支出159.28万元，占39.5%；项目支出244.10万元，占60.5%；经营支出0.00万元，占0.0%；上缴上级支出0.00万元，占0.0%；对附属单位补助支出0.00万元，占0.0%。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B7A75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477E87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C52BB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本单位2025年度财政拨款收、支总计（含结转和结余）均为403.38万元。与2024年度相比，财政拨款收支各减少25.77万元，降低6.0%，主要原因是项目支出减少。</w:t>
      </w:r>
    </w:p>
    <w:p w14:paraId="7804EE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本单位2025年度财政拨款本年收入403.38万元,比上年减少25.77万元，降低6.0%，主要原因是项目支出减少；本年支出403.38万元，比上年减少25.77万元，降低6.0%，主要原因是项目支出减少。具体情况如下：</w:t>
      </w:r>
    </w:p>
    <w:p w14:paraId="0BCD31DB">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一般公共预算财政拨款本年收入403.38万元,比上年减少25.77万元，降低6.0%，主要原因是项目支出减少；本年支出403.38万元，比上年减少25.77万元，降低6.0%，主要原因是项目支出减少。</w:t>
      </w:r>
    </w:p>
    <w:p w14:paraId="1FD44A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政府性基金预算财政拨款本年收入0.00万元，比上年增加0.00万元，增长0.00%，主要原因是；本年支出0.00万元，比上年增加0.00万元，增长0.00%，主要原因是。</w:t>
      </w:r>
    </w:p>
    <w:p w14:paraId="3FF6823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B2D352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D8155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403.38万元，完成年初预算的93.0%，比年初预算减少30.13万元，决算数小于预算数主要原因是项目支出减少；本年支出403.38万元，完成年初预算的93.0%，比年初预算减少30.13万元，决算数小于预算数主要原因是项目支出减少。具体情况如下：</w:t>
      </w:r>
    </w:p>
    <w:p w14:paraId="2AD2C0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一般公共预算财政拨款本年收入完成年初预算的93.0%，比年初预算减少30.13万元，主要原因是项目支出减少；支出完成年初预算的93.0%，比年初预算减少30.13万元，主要原因是项目支出减少。</w:t>
      </w:r>
    </w:p>
    <w:p w14:paraId="5EF8E2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政府性基金预算财政拨款本年收入完成年初预算的0.0%，比年初预算增加0.00万元，主要原因是；支出完成年初预算的0.0%，比年初预算增加0.00万元，主要原因是。</w:t>
      </w:r>
    </w:p>
    <w:p w14:paraId="0CED36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4FCDBF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34E39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2025年度财政拨款支出403.38万元，主要用于以下方面：</w:t>
      </w:r>
    </w:p>
    <w:p w14:paraId="76BA273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E5D07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374.62万元，占92.9%，主要用于行政运行和一般行政事务管理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11.40万元，占2.8%，主要用于机关事业单位基本养老保险缴费等支出；卫生健康（类）支出6.89万元，占1.7%，主要用于职工基本医疗保险费和公务员医疗补助缴费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10.47万元，占2.6%，主要用于住房公积金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2C5C671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365ED3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28D3637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7D465A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922F6E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0BF6E7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2025年度财政拨款基本支出159.28万元，其中：</w:t>
      </w:r>
    </w:p>
    <w:p w14:paraId="694021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141.19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1113BF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18.09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1D8A475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08271F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30C99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本单位2025年度“三公”经费财政拨款支出预算为2.60万元，支出决算为2.60万元，完成预算的100.0%，较预算增加0.00万元，增长0.0%，主要原因是；较2024年度决算增加0.00万元，增长0.0%，主要原因是。</w:t>
      </w:r>
    </w:p>
    <w:p w14:paraId="0A2B03D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1728EA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7DEB86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本单位2025年度公务用车购置及运行维护费预算为2.60万元，支出决算2.60万元，完成预算的100.0%,较预算增加0.00万元，增长0.0%,主要原因是；较上年增加0.00万元，增长0.0%,主要原因是。其中：</w:t>
      </w:r>
    </w:p>
    <w:p w14:paraId="7441CEC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14:paraId="1C6E6C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公务用车运行维护费支出2.60万元：</w:t>
      </w:r>
      <w:r>
        <w:rPr>
          <w:rFonts w:ascii="Times New Roman" w:eastAsia="仿宋_GB2312"/>
          <w:b w:val="0"/>
          <w:sz w:val="32"/>
          <w:szCs w:val="32"/>
        </w:rPr>
        <w:t>本单位2025年度单位公务用车保有量1辆，发生运行维护费支出2.60万元。公车运行维护费支出较预算增加0.00万元，增长0.0%,主要原因是；较上年增加0.00万元，增长0.0%，主要原因是。</w:t>
      </w:r>
    </w:p>
    <w:p w14:paraId="5AE292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较上年度增加0.00万元，增长0.00%,主要原因是。本年度共发生公务接待0批次、0人次。</w:t>
      </w:r>
    </w:p>
    <w:p w14:paraId="4AE4E1E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0D4B91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本单位2025年度机关运行经费支出18.09万元，较2024年度增加0.32万元，增长1.8%。主要原因是办公费增加。</w:t>
      </w:r>
    </w:p>
    <w:p w14:paraId="672C1B8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3F1CAA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7646EAB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4D71C2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14:paraId="3A0B028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772A22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DD756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244.10万元（决算金额）。其中，一般公共预算项目4个，涉及资金244.10万元，占一般公共预算项目支出总额的100%；政府性基金预算项目个，涉及资金万元，占政府性基金预算项目支出总额的%；国有资本经营预算项目个，涉及资金万元，占国有资本经营预算项目支出总额的%。</w:t>
      </w:r>
    </w:p>
    <w:p w14:paraId="53D1F6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工会经费等4个项目开展了部门重点评价，涉及一般公共预算支出244.10万元，政府性基金预算支出0万元，国有资本经营预算支出0万元，从评价情况来看，各项目是实施运行、资金拨付，项目资金管理规范、项目管理到位、政策执行有力有效发挥了财政资金的使用效率，完成了项目资金管理和使用规范工作。一定程度确保了各项工作正常运转。</w:t>
      </w:r>
    </w:p>
    <w:p w14:paraId="2DC0381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495FA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本单位在今年部门决算公开中反映工会经费等4个项目绩效自评结果。</w:t>
      </w:r>
    </w:p>
    <w:p w14:paraId="15D814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工会经费项目绩效自评情况：根据年初设定的绩效目标，工会经费项目绩效自评得分为100分（绩效自评表附后）。全年预算数为221.69万元，执行数为221.69万元，完成预算的100%。项目绩效目标完成情况：一是开展好工会各项工作；二是完成职工技能培训100%。发现的主要问题及原因是：一是预算项目指标设定还需进一步详尽；二是绩效指标应充分体现“结果”导向作用。下一步改进措施：一是进一步提高对绩效工作的认识，将绩效评价结果和项目预算编制执行有效结合；二是按照结果导向原则做好项目绩效设定工作。</w:t>
      </w:r>
    </w:p>
    <w:p w14:paraId="07153E3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734EE0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通过绩效评价，部门整体绩效支出综合得分100分，项目综合绩效评价为优秀。</w:t>
      </w:r>
    </w:p>
    <w:p w14:paraId="57F6FE76">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643B9E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0BEC91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1CB77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4D4626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25F658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37803B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6461D0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4C3AE2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773CFA7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75D9A4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101B15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DEB8C9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3C5309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2FE3FFF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16054D7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87A6E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48FA0E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1ECCE9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CA45C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7DBD9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21B30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E671179-10EA-49A5-8B86-A2F007CA9742}"/>
  </w:font>
  <w:font w:name="黑体">
    <w:panose1 w:val="02010609060101010101"/>
    <w:charset w:val="86"/>
    <w:family w:val="auto"/>
    <w:pitch w:val="default"/>
    <w:sig w:usb0="800002BF" w:usb1="38CF7CFA" w:usb2="00000016" w:usb3="00000000" w:csb0="00040001" w:csb1="00000000"/>
    <w:embedRegular r:id="rId2" w:fontKey="{231706D7-C69A-4439-B57B-F77FCD42AF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F67CDB7F-91A7-4CFF-9E8E-51918049EBEA}"/>
  </w:font>
  <w:font w:name="仿宋">
    <w:panose1 w:val="02010609060101010101"/>
    <w:charset w:val="86"/>
    <w:family w:val="modern"/>
    <w:pitch w:val="default"/>
    <w:sig w:usb0="800002BF" w:usb1="38CF7CFA" w:usb2="00000016" w:usb3="00000000" w:csb0="00040001" w:csb1="00000000"/>
    <w:embedRegular r:id="rId4" w:fontKey="{B71EC13A-F612-40A2-9882-01AE4438D55F}"/>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359F2302-C59A-439F-B658-24B2518A0246}"/>
  </w:font>
  <w:font w:name="楷体_GB2312">
    <w:panose1 w:val="02010609030101010101"/>
    <w:charset w:val="86"/>
    <w:family w:val="auto"/>
    <w:pitch w:val="default"/>
    <w:sig w:usb0="00000001" w:usb1="080E0000" w:usb2="00000000" w:usb3="00000000" w:csb0="00040000" w:csb1="00000000"/>
    <w:embedRegular r:id="rId6" w:fontKey="{E7070100-D89B-4B35-BED2-FFAEAEB6E045}"/>
  </w:font>
  <w:font w:name="微软雅黑">
    <w:panose1 w:val="020B0503020204020204"/>
    <w:charset w:val="86"/>
    <w:family w:val="auto"/>
    <w:pitch w:val="default"/>
    <w:sig w:usb0="80000287" w:usb1="2ACF3C50" w:usb2="00000016" w:usb3="00000000" w:csb0="0004001F" w:csb1="00000000"/>
    <w:embedRegular r:id="rId7" w:fontKey="{F5ADAD99-BE5E-4787-B7D5-7714BE4EBEC6}"/>
  </w:font>
  <w:font w:name="方正小标宋_GBK">
    <w:panose1 w:val="02000000000000000000"/>
    <w:charset w:val="86"/>
    <w:family w:val="script"/>
    <w:pitch w:val="default"/>
    <w:sig w:usb0="A00002BF" w:usb1="38CF7CFA" w:usb2="00082016" w:usb3="00000000" w:csb0="00040001" w:csb1="00000000"/>
    <w:embedRegular r:id="rId8" w:fontKey="{8F3E6B09-ADE6-4B1F-8DF5-35A4B7E033D6}"/>
  </w:font>
  <w:font w:name="仿宋_GB2312">
    <w:panose1 w:val="02010609030101010101"/>
    <w:charset w:val="86"/>
    <w:family w:val="auto"/>
    <w:pitch w:val="default"/>
    <w:sig w:usb0="00000001" w:usb1="080E0000" w:usb2="00000000" w:usb3="00000000" w:csb0="00040000" w:csb1="00000000"/>
    <w:embedRegular r:id="rId9" w:fontKey="{599840FB-EA2F-436D-978F-CFC5562BE841}"/>
  </w:font>
  <w:font w:name="ArialUnicodeMS">
    <w:altName w:val="Malgun Gothic"/>
    <w:panose1 w:val="00000000000000000000"/>
    <w:charset w:val="81"/>
    <w:family w:val="auto"/>
    <w:pitch w:val="default"/>
    <w:sig w:usb0="00000000" w:usb1="00000000" w:usb2="00000010" w:usb3="00000000" w:csb0="00080001" w:csb1="00000000"/>
    <w:embedRegular r:id="rId10" w:fontKey="{FFC6E79D-64FC-4C28-86C0-202F9D447F4B}"/>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76CCB">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E5AE4">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E517B">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5BAD1">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636657"/>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6368C4"/>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BF0CDC"/>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403.38</c:v>
                </c:pt>
                <c:pt idx="1">
                  <c:v>429.14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4033790.06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1592787.52</c:v>
                </c:pt>
                <c:pt idx="1">
                  <c:v>2441002.54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429.14</c:v>
                </c:pt>
                <c:pt idx="1">
                  <c:v>429.14</c:v>
                </c:pt>
                <c:pt idx="2">
                  <c:v>429.14</c:v>
                </c:pt>
                <c:pt idx="3">
                  <c:v>429.14</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403.38</c:v>
                </c:pt>
                <c:pt idx="1">
                  <c:v>403.38</c:v>
                </c:pt>
                <c:pt idx="2">
                  <c:v>403.38</c:v>
                </c:pt>
                <c:pt idx="3">
                  <c:v>403.38</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433.51</c:v>
                </c:pt>
                <c:pt idx="1">
                  <c:v>433.51</c:v>
                </c:pt>
                <c:pt idx="2">
                  <c:v>433.51</c:v>
                </c:pt>
                <c:pt idx="3">
                  <c:v>433.51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403.38</c:v>
                </c:pt>
                <c:pt idx="1">
                  <c:v>403.38</c:v>
                </c:pt>
                <c:pt idx="2">
                  <c:v>403.38</c:v>
                </c:pt>
                <c:pt idx="3">
                  <c:v>403.38</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45</Pages>
  <Words>2574</Words>
  <Characters>3071</Characters>
  <Lines>86</Lines>
  <Paragraphs>24</Paragraphs>
  <TotalTime>14</TotalTime>
  <ScaleCrop>false</ScaleCrop>
  <LinksUpToDate>false</LinksUpToDate>
  <CharactersWithSpaces>3299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13323011735</cp:lastModifiedBy>
  <cp:lastPrinted>2023-08-04T01:00:00Z</cp:lastPrinted>
  <dcterms:modified xsi:type="dcterms:W3CDTF">2026-09-21T07:41:21Z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54F115A08C774EC9B098DA2CCBD127CE_13</vt:lpwstr>
  </property>
  <property fmtid="{D5CDD505-2E9C-101B-9397-08002B2CF9AE}" pid="4" name="KSOTemplateUUID">
    <vt:lpwstr>v1.0_mb_S7ajbG3IpAnL1wSthNCxfw==</vt:lpwstr>
  </property>
  <property fmtid="{D5CDD505-2E9C-101B-9397-08002B2CF9AE}" pid="5" name="KSOTemplateDocerSaveRecord">
    <vt:lpwstr>eyJoZGlkIjoiZTNhMzhmNjU3NDU2YjNiYWExNDJlM2Y4YTNjMzYyNWIiLCJ1c2VySWQiOiIxNTUwMjQwMDk2In0=</vt:lpwstr>
  </property>
</Properties>
</file>