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auto"/>
          <w:kern w:val="2"/>
          <w:sz w:val="48"/>
          <w:szCs w:val="56"/>
        </w:rPr>
      </w:pPr>
      <w:r>
        <w:rPr>
          <w:rFonts w:hint="eastAsia"/>
          <w:color w:val="auto"/>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rPr>
          <w:color w:val="auto"/>
        </w:rP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both"/>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元氏县姬村镇人民政府(本级)</w:t>
      </w:r>
    </w:p>
    <w:p>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预算代码：</w:t>
      </w:r>
      <w:r>
        <w:rPr>
          <w:rFonts w:hint="eastAsia" w:ascii="楷体_GB2312" w:hAnsi="楷体_GB2312" w:eastAsia="楷体_GB2312" w:cs="楷体_GB2312"/>
          <w:b/>
          <w:bCs/>
          <w:color w:val="auto"/>
          <w:kern w:val="2"/>
          <w:sz w:val="48"/>
          <w:szCs w:val="56"/>
          <w:lang w:val="en-US" w:eastAsia="zh-CN"/>
        </w:rPr>
        <w:t>815001</w:t>
      </w:r>
    </w:p>
    <w:p>
      <w:pPr>
        <w:jc w:val="center"/>
        <w:rPr>
          <w:rFonts w:ascii="楷体_GB2312" w:hAnsi="楷体_GB2312" w:eastAsia="楷体_GB2312" w:cs="楷体_GB2312"/>
          <w:b/>
          <w:bCs/>
          <w:color w:val="auto"/>
          <w:sz w:val="48"/>
          <w:szCs w:val="56"/>
        </w:rPr>
      </w:pPr>
    </w:p>
    <w:p>
      <w:pPr>
        <w:jc w:val="center"/>
        <w:rPr>
          <w:rFonts w:ascii="楷体_GB2312" w:hAnsi="楷体_GB2312" w:eastAsia="楷体_GB2312" w:cs="楷体_GB2312"/>
          <w:b/>
          <w:bCs/>
          <w:color w:val="auto"/>
          <w:sz w:val="48"/>
          <w:szCs w:val="56"/>
        </w:rPr>
      </w:pPr>
      <w:r>
        <w:rPr>
          <w:rFonts w:hint="eastAsia" w:ascii="楷体_GB2312" w:hAnsi="楷体_GB2312" w:eastAsia="楷体_GB2312" w:cs="楷体_GB2312"/>
          <w:b/>
          <w:bCs/>
          <w:color w:val="auto"/>
          <w:sz w:val="48"/>
          <w:szCs w:val="56"/>
        </w:rPr>
        <w:t>二〇二六年八月</w:t>
      </w:r>
    </w:p>
    <w:p>
      <w:pPr>
        <w:spacing w:line="600" w:lineRule="auto"/>
        <w:jc w:val="both"/>
        <w:rPr>
          <w:rFonts w:hint="eastAsia" w:ascii="楷体_GB2312" w:hAnsi="楷体_GB2312" w:eastAsia="楷体_GB2312" w:cs="楷体_GB2312"/>
          <w:color w:val="auto"/>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auto"/>
          <w:sz w:val="40"/>
          <w:szCs w:val="40"/>
        </w:rPr>
      </w:pPr>
    </w:p>
    <w:p>
      <w:pPr>
        <w:rPr>
          <w:rFonts w:hint="eastAsia" w:ascii="黑体" w:hAnsi="黑体" w:eastAsia="黑体" w:cs="黑体"/>
          <w:b/>
          <w:bCs/>
          <w:color w:val="auto"/>
          <w:sz w:val="32"/>
          <w:szCs w:val="36"/>
          <w:highlight w:val="yellow"/>
        </w:rPr>
      </w:pPr>
    </w:p>
    <w:p>
      <w:pPr>
        <w:widowControl/>
        <w:spacing w:before="0" w:beforeLines="0" w:beforeAutospacing="0" w:after="0" w:afterLines="0" w:afterAutospacing="0" w:line="360" w:lineRule="auto"/>
        <w:jc w:val="center"/>
        <w:rPr>
          <w:rFonts w:ascii="Times New Roman" w:eastAsia="方正小标宋_GBK"/>
          <w:color w:val="auto"/>
          <w:sz w:val="72"/>
          <w:szCs w:val="72"/>
        </w:rPr>
      </w:pPr>
      <w:r>
        <w:rPr>
          <w:rFonts w:ascii="Times New Roman" w:eastAsia="方正小标宋_GBK"/>
          <w:b w:val="0"/>
          <w:color w:val="auto"/>
          <w:sz w:val="72"/>
          <w:szCs w:val="72"/>
        </w:rPr>
        <w:t>元氏县姬村镇人民政府(本级)</w:t>
      </w:r>
    </w:p>
    <w:p>
      <w:pPr>
        <w:widowControl/>
        <w:spacing w:before="0" w:beforeLines="0" w:beforeAutospacing="0" w:after="0" w:afterLines="0" w:afterAutospacing="0" w:line="360" w:lineRule="auto"/>
        <w:jc w:val="center"/>
        <w:rPr>
          <w:rFonts w:ascii="Times New Roman" w:eastAsia="方正小标宋_GBK"/>
          <w:color w:val="auto"/>
          <w:sz w:val="72"/>
          <w:szCs w:val="72"/>
        </w:rPr>
      </w:pPr>
      <w:r>
        <w:rPr>
          <w:rFonts w:ascii="Times New Roman" w:eastAsia="仿宋_GB2312"/>
          <w:b w:val="0"/>
          <w:color w:val="auto"/>
          <w:sz w:val="72"/>
          <w:szCs w:val="72"/>
        </w:rPr>
        <w:t>2025</w:t>
      </w:r>
      <w:r>
        <w:rPr>
          <w:rFonts w:ascii="Times New Roman" w:eastAsia="方正小标宋_GBK"/>
          <w:b w:val="0"/>
          <w:color w:val="auto"/>
          <w:sz w:val="72"/>
          <w:szCs w:val="72"/>
        </w:rPr>
        <w:t>年度部门决算公开文本</w:t>
      </w:r>
    </w:p>
    <w:p>
      <w:pPr>
        <w:spacing w:line="360" w:lineRule="auto"/>
        <w:jc w:val="center"/>
        <w:rPr>
          <w:rFonts w:ascii="黑体" w:hAnsi="黑体" w:eastAsia="黑体" w:cs="黑体"/>
          <w:color w:val="auto"/>
          <w:sz w:val="56"/>
          <w:szCs w:val="72"/>
        </w:rPr>
      </w:pPr>
    </w:p>
    <w:p>
      <w:pPr>
        <w:spacing w:line="480" w:lineRule="auto"/>
        <w:jc w:val="both"/>
        <w:rPr>
          <w:rFonts w:ascii="黑体" w:hAnsi="黑体" w:eastAsia="黑体" w:cs="黑体"/>
          <w:color w:val="auto"/>
          <w:sz w:val="56"/>
          <w:szCs w:val="72"/>
        </w:rPr>
      </w:pPr>
    </w:p>
    <w:p>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元氏县姬村镇人民政府(本级)</w:t>
      </w:r>
    </w:p>
    <w:p>
      <w:pPr>
        <w:widowControl/>
        <w:spacing w:before="0" w:beforeLines="0" w:beforeAutospacing="0" w:after="0" w:afterLines="0" w:afterAutospacing="0" w:line="240" w:lineRule="auto"/>
        <w:jc w:val="center"/>
        <w:rPr>
          <w:rFonts w:ascii="Times New Roman" w:eastAsia="楷体_GB2312"/>
          <w:color w:val="auto"/>
          <w:sz w:val="44"/>
          <w:szCs w:val="44"/>
        </w:rPr>
      </w:pPr>
      <w:r>
        <w:rPr>
          <w:rFonts w:ascii="Times New Roman" w:eastAsia="楷体_GB2312"/>
          <w:b w:val="0"/>
          <w:color w:val="auto"/>
          <w:sz w:val="44"/>
          <w:szCs w:val="44"/>
        </w:rPr>
        <w:t>(加盖公章）</w:t>
      </w:r>
    </w:p>
    <w:p>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二〇二六年八月</w:t>
      </w:r>
    </w:p>
    <w:p>
      <w:pPr>
        <w:rPr>
          <w:rFonts w:hint="eastAsia"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pPr>
      <w:r>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br w:type="page"/>
      </w:r>
    </w:p>
    <w:p>
      <w:pPr>
        <w:snapToGrid w:val="0"/>
        <w:jc w:val="left"/>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目  录</w:t>
      </w:r>
    </w:p>
    <w:p>
      <w:pPr>
        <w:widowControl/>
        <w:spacing w:after="160" w:line="580" w:lineRule="exact"/>
        <w:ind w:firstLine="640" w:firstLineChars="200"/>
        <w:rPr>
          <w:rFonts w:ascii="Times New Roman" w:hAnsi="Times New Roman" w:eastAsia="黑体" w:cs="Times New Roman"/>
          <w:color w:val="auto"/>
          <w:sz w:val="32"/>
          <w:szCs w:val="32"/>
        </w:rPr>
      </w:pP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二、机构设置</w:t>
      </w:r>
    </w:p>
    <w:p>
      <w:pPr>
        <w:widowControl/>
        <w:spacing w:before="0" w:beforeLines="0" w:beforeAutospacing="0" w:after="0" w:afterLines="0" w:afterAutospacing="0" w:line="360" w:lineRule="auto"/>
        <w:jc w:val="left"/>
        <w:outlineLvl w:val="0"/>
        <w:rPr>
          <w:rFonts w:ascii="Times New Roman" w:eastAsia="黑体"/>
          <w:color w:val="auto"/>
          <w:sz w:val="32"/>
          <w:szCs w:val="32"/>
        </w:rPr>
      </w:pPr>
      <w:r>
        <w:rPr>
          <w:rFonts w:ascii="Times New Roman" w:eastAsia="黑体"/>
          <w:b w:val="0"/>
          <w:color w:val="auto"/>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十、其他需要说明的情况</w:t>
      </w: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第四部分 名词解释</w:t>
      </w:r>
    </w:p>
    <w:p>
      <w:pPr>
        <w:widowControl/>
        <w:spacing w:after="160" w:line="580" w:lineRule="exact"/>
        <w:rPr>
          <w:rFonts w:hint="eastAsia" w:ascii="Times New Roman" w:hAnsi="Times New Roman" w:eastAsia="黑体" w:cs="Times New Roman"/>
          <w:color w:val="auto"/>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auto"/>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社会管理职责。包括：（1）贯彻执行上级的各项方针政策，保障公民享有宪法规定的经济、政治和文化权利；（2）加强综合治理，维护社会稳定，妥善处理突发性、群体性事件，调节和处理好各种利益矛盾和纠纷 ；（3）根据乡村社会的需要，组织制定和推动落实经农民认可的乡规民约，构建和谐的乡村社会等。 【2】发展经济职责。包括：（1）组织制定本乡产业发展规划，指导产业结构调整，形成地域产业特色；（2）组织营造良好的投资环境，包括政策环境、硬件环境、社会环境，加大招商引资力度；（3）通过推动和引导农村经济合作组织的发展，指导农村生产，提高农村生产组织化程度；（4）加强信息服务，密切本地农产品的市场衔接，促进农业新技术的推广。 【3】公共服务职责。抓好公共服务，提供公共产品，政府责无旁贷。乡应管好用好国家转移到农村的各种资金，为村提供必要的社会保障：（1）生产保障，包括提供水利灌溉、道路运输、电力供应、农技推广、病虫害防治等生产性公共产品；（2）教育保障，包括协助教育部门普及九年义务教育，提高农民的科学文化素质；（3）医疗保障，包括农村医疗设施、医疗手段的完善和提高，农村医疗保险制度的建立和落实；（4）养老保障，包括福利院、敬老院的建设，农村养老保险制度的推行；（5）生活保障，包括建设乡村社会各种生活基础设施，建立农村特困户的救助制度和救助体系；（6）生育保障，为控制人口数量、提高人口质量提供各种优质服务。 【4】基层建设职责。（1）抓好农村党组织建设，包括乡党委、村党支部领导班子的推荐与选配，农村党员的发展和管理，党员干部队伍思想作风建设等；（2）抓好村委会班子建设，依法指导和帮助组织好乡村基层组织和社区自治，为落实公民在选举、决策、管理和监督等方面的民主权利创造条件；（3）抓好农村思想建设，加强农村思想政治工作和社会主义精神文明建设，倡导乡村社会文明新风；（4）抓好民主集中制建设，敞开群众表达意愿的渠道，建立民主决策、科学决策的程序和机制。</w:t>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序号</w:t>
            </w:r>
          </w:p>
        </w:tc>
        <w:tc>
          <w:tcPr>
            <w:tcW w:w="348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单位名称</w:t>
            </w:r>
          </w:p>
        </w:tc>
        <w:tc>
          <w:tcPr>
            <w:tcW w:w="244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1</w:t>
            </w:r>
          </w:p>
        </w:tc>
        <w:tc>
          <w:tcPr>
            <w:tcW w:w="3485"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元氏县姬村镇人民政府(本级)</w:t>
            </w:r>
          </w:p>
        </w:tc>
        <w:tc>
          <w:tcPr>
            <w:tcW w:w="2445"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行政单位</w:t>
            </w:r>
          </w:p>
        </w:tc>
        <w:tc>
          <w:tcPr>
            <w:tcW w:w="2665"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全额</w:t>
            </w:r>
          </w:p>
        </w:tc>
      </w:tr>
    </w:tbl>
    <w:p>
      <w:pPr>
        <w:rPr>
          <w:rFonts w:hint="eastAsia" w:ascii="Times New Roman" w:hAnsi="Times New Roman" w:eastAsia="黑体" w:cs="Times New Roman"/>
          <w:color w:val="auto"/>
          <w:sz w:val="32"/>
          <w:szCs w:val="32"/>
          <w:highlight w:val="yellow"/>
        </w:rPr>
      </w:pPr>
      <w:r>
        <w:rPr>
          <w:rFonts w:hint="eastAsia" w:ascii="Times New Roman" w:hAnsi="Times New Roman" w:eastAsia="黑体" w:cs="Times New Roman"/>
          <w:color w:val="auto"/>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第二部分</w:t>
      </w:r>
      <w:r>
        <w:rPr>
          <w:rFonts w:ascii="Times New Roman" w:eastAsia="仿宋_GB2312"/>
          <w:b w:val="0"/>
          <w:color w:val="auto"/>
          <w:sz w:val="44"/>
          <w:szCs w:val="44"/>
        </w:rPr>
        <w:t>2025</w:t>
      </w:r>
      <w:r>
        <w:rPr>
          <w:rFonts w:ascii="Times New Roman" w:eastAsia="黑体"/>
          <w:b w:val="0"/>
          <w:color w:val="auto"/>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bidi w:val="0"/>
        <w:rPr>
          <w:rFonts w:hint="default"/>
          <w:color w:val="auto"/>
          <w:lang w:val="en-US" w:eastAsia="zh-CN"/>
        </w:rPr>
      </w:pPr>
    </w:p>
    <w:p>
      <w:pPr>
        <w:bidi w:val="0"/>
        <w:rPr>
          <w:rFonts w:hint="default"/>
          <w:color w:val="auto"/>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auto"/>
                <w:sz w:val="20"/>
                <w:szCs w:val="20"/>
                <w:highlight w:val="none"/>
                <w:u w:val="none"/>
                <w:lang w:val="en-US" w:eastAsia="zh-CN"/>
              </w:rPr>
              <w:t>01</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部门（单位）：元氏县姬村镇人民政府(本级)</w:t>
            </w:r>
          </w:p>
        </w:tc>
        <w:tc>
          <w:tcPr>
            <w:tcW w:w="2945" w:type="dxa"/>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sz w:val="20"/>
                <w:szCs w:val="20"/>
                <w:highlight w:val="none"/>
                <w:u w:val="none"/>
                <w:lang w:val="en-US" w:eastAsia="zh-CN"/>
              </w:rPr>
              <w:t>2025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宋体" w:hAnsi="宋体" w:eastAsia="宋体" w:cs="宋体"/>
                <w:i w:val="0"/>
                <w:iCs w:val="0"/>
                <w:color w:val="auto"/>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496.13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369.20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38.83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eastAsia" w:ascii="Times New Roman" w:hAnsi="Times New Roman" w:eastAsia="宋体" w:cs="Times New Roman"/>
                <w:i w:val="0"/>
                <w:iCs w:val="0"/>
                <w:color w:val="auto"/>
                <w:sz w:val="20"/>
                <w:szCs w:val="20"/>
                <w:highlight w:val="none"/>
                <w:u w:val="none"/>
                <w:lang w:val="en-US" w:eastAsia="zh-CN"/>
              </w:rPr>
              <w:t>02</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default" w:ascii="Times New Roman" w:hAnsi="Times New Roman" w:eastAsia="方正仿宋_GB2312" w:cs="Times New Roman"/>
                <w:i w:val="0"/>
                <w:iCs w:val="0"/>
                <w:color w:val="auto"/>
                <w:sz w:val="20"/>
                <w:szCs w:val="20"/>
                <w:highlight w:val="none"/>
                <w:u w:val="none"/>
                <w:lang w:val="en-US" w:eastAsia="zh-CN"/>
              </w:rPr>
              <w:t>202</w:t>
            </w:r>
            <w:r>
              <w:rPr>
                <w:rFonts w:hint="eastAsia" w:ascii="Times New Roman" w:hAnsi="Times New Roman" w:eastAsia="方正仿宋_GB2312" w:cs="Times New Roman"/>
                <w:i w:val="0"/>
                <w:iCs w:val="0"/>
                <w:color w:val="auto"/>
                <w:sz w:val="20"/>
                <w:szCs w:val="20"/>
                <w:highlight w:val="none"/>
                <w:u w:val="none"/>
                <w:lang w:val="en-US" w:eastAsia="zh-CN"/>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1,217.58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1,217.58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434.72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434.72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0.92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0.92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18.66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18.66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369.20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369.20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林业和草原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2130234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林业草原防灾减灾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部门（单位）：元氏县姬村镇人民政府(本级)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eastAsiaTheme="minorEastAsia"/>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544.77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672.82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政府办公厅（室）及相关机构事务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退役士兵安置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城乡社区公共设施</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小城镇基础设施建设</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农林水支出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农业农村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其他农业农村支出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林业和草原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2130234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林业草原防灾减灾</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农村综合改革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对村民委员会和村党支部的补助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部门（单位）：元氏县姬村镇人民政府(本级)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496.13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496.13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27.66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27.66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369.20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369.20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38.83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38.83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color w:val="auto"/>
                <w:sz w:val="20"/>
                <w:szCs w:val="20"/>
                <w:highlight w:val="none"/>
              </w:rPr>
            </w:pPr>
          </w:p>
          <w:p>
            <w:pPr>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1,217.58</w:t>
            </w:r>
          </w:p>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部门（单位）：元氏县姬村镇人民政府(本级)</w:t>
            </w:r>
          </w:p>
        </w:tc>
        <w:tc>
          <w:tcPr>
            <w:tcW w:w="2813" w:type="dxa"/>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544.77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672.82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一般公共服务支出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政府办公厅（室）及相关机构事务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退役安置</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退役士兵安置</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城乡社区公共设施</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小城镇基础设施建设</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农林水支出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农业农村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其他农业农村支出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林业和草原</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2130234</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林业草原防灾减灾</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农村综合改革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对村民委员会和村党支部的补助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auto"/>
                <w:sz w:val="32"/>
                <w:szCs w:val="32"/>
                <w:u w:val="none"/>
              </w:rPr>
            </w:pPr>
            <w:r>
              <w:rPr>
                <w:rFonts w:hint="eastAsia" w:ascii="方正仿宋_GB2312" w:hAnsi="方正仿宋_GB2312" w:eastAsia="方正仿宋_GB2312" w:cs="方正仿宋_GB2312"/>
                <w:i w:val="0"/>
                <w:iCs w:val="0"/>
                <w:color w:val="auto"/>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公开</w:t>
            </w:r>
            <w:r>
              <w:rPr>
                <w:rFonts w:hint="default" w:ascii="Times New Roman" w:hAnsi="Times New Roman" w:eastAsia="方正仿宋_GB2312" w:cs="Times New Roman"/>
                <w:i w:val="0"/>
                <w:iCs w:val="0"/>
                <w:color w:val="auto"/>
                <w:kern w:val="0"/>
                <w:sz w:val="18"/>
                <w:szCs w:val="18"/>
                <w:u w:val="none"/>
                <w:lang w:val="en-US" w:eastAsia="zh-CN" w:bidi="ar"/>
              </w:rPr>
              <w:t>06</w:t>
            </w:r>
            <w:r>
              <w:rPr>
                <w:rStyle w:val="25"/>
                <w:color w:val="auto"/>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部门（单位）：元氏县姬村镇人民政府(本级) </w:t>
            </w:r>
            <w:r>
              <w:rPr>
                <w:rFonts w:hint="eastAsia" w:ascii="宋体" w:hAnsi="宋体" w:eastAsia="宋体" w:cs="宋体"/>
                <w:i w:val="0"/>
                <w:iCs w:val="0"/>
                <w:color w:val="auto"/>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2025</w:t>
            </w:r>
            <w:r>
              <w:rPr>
                <w:rStyle w:val="25"/>
                <w:color w:val="auto"/>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467.06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54.62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175.03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90.30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54.74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42.65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14.23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38.83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15.60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7.49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4.81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24.89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0.18</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auto"/>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auto"/>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490.15</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部门（单位）：元氏县姬村镇人民政府(本级) </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lang w:val="en-US" w:eastAsia="zh-CN"/>
              </w:rPr>
            </w:pPr>
            <w:r>
              <w:rPr>
                <w:rFonts w:hint="default" w:ascii="Times New Roman" w:hAnsi="Times New Roman" w:eastAsia="方正仿宋_GB2312" w:cs="Times New Roman"/>
                <w:i w:val="0"/>
                <w:iCs w:val="0"/>
                <w:color w:val="auto"/>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部门（单位）：元氏县姬村镇人民政府(本级)</w:t>
            </w:r>
          </w:p>
        </w:tc>
        <w:tc>
          <w:tcPr>
            <w:tcW w:w="2680" w:type="dxa"/>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公开</w:t>
            </w:r>
            <w:r>
              <w:rPr>
                <w:rFonts w:hint="default" w:ascii="Times New Roman" w:hAnsi="Times New Roman" w:eastAsia="方正仿宋_GB2312" w:cs="Times New Roman"/>
                <w:i w:val="0"/>
                <w:iCs w:val="0"/>
                <w:color w:val="auto"/>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部门（单位）：元氏县姬村镇人民政府(本级)</w:t>
            </w:r>
          </w:p>
        </w:tc>
        <w:tc>
          <w:tcPr>
            <w:tcW w:w="2166"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202</w:t>
            </w:r>
            <w:r>
              <w:rPr>
                <w:rFonts w:hint="eastAsia" w:ascii="Times New Roman" w:hAnsi="Times New Roman" w:eastAsia="宋体" w:cs="Times New Roman"/>
                <w:i w:val="0"/>
                <w:iCs w:val="0"/>
                <w:color w:val="auto"/>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5.20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5.20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5.20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4.81</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4.81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4.81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第三部分</w:t>
      </w:r>
      <w:r>
        <w:rPr>
          <w:rFonts w:ascii="Times New Roman" w:eastAsia="仿宋_GB2312"/>
          <w:b w:val="0"/>
          <w:color w:val="auto"/>
          <w:sz w:val="44"/>
          <w:szCs w:val="44"/>
        </w:rPr>
        <w:t>2025</w:t>
      </w:r>
      <w:r>
        <w:rPr>
          <w:rFonts w:ascii="Times New Roman" w:eastAsia="黑体"/>
          <w:b w:val="0"/>
          <w:color w:val="auto"/>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本单位2025年度收、支总计（含结转和结余）均为1,217.58万元。与2024年度决算相比，收支各减少269.79万元，下降18.1%，主要原因是减少了占地补偿等项目资金。</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color w:val="auto"/>
          <w:highlight w:val="none"/>
        </w:rPr>
      </w:pPr>
      <w:r>
        <w:rPr>
          <w:rFonts w:hint="eastAsia" w:ascii="Times New Roman" w:hAnsi="Times New Roman" w:eastAsia="宋体"/>
          <w:color w:val="auto"/>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auto"/>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本年收入合计1,217.58万元，其中：财政拨款收入1,217.58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color w:val="auto"/>
          <w:kern w:val="2"/>
          <w:sz w:val="32"/>
          <w:szCs w:val="32"/>
          <w:highlight w:val="yellow"/>
          <w:lang w:val="zh-CN"/>
        </w:rPr>
      </w:pPr>
      <w:r>
        <w:rPr>
          <w:rFonts w:ascii="Times New Roman" w:hAnsi="Times New Roman" w:eastAsia="仿宋_GB2312"/>
          <w:color w:val="auto"/>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本单位2025年度本年支出合计1,217.58万元，其中：基本支出544.77万元，占44.7%；项目支出672.82万元，占55.3%；经营支出0.00万元，占0.0%；上缴上级支出0.00万元，占0.0%；对附属单位补助支出0.00万元，占0.0%。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color w:val="auto"/>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（一）财政拨款收支与</w:t>
      </w:r>
      <w:r>
        <w:rPr>
          <w:rFonts w:ascii="Times New Roman" w:eastAsia="仿宋_GB2312"/>
          <w:b/>
          <w:color w:val="auto"/>
          <w:sz w:val="32"/>
          <w:szCs w:val="32"/>
        </w:rPr>
        <w:t>2024</w:t>
      </w:r>
      <w:r>
        <w:rPr>
          <w:rFonts w:ascii="Times New Roman" w:eastAsia="楷体_GB2312"/>
          <w:b/>
          <w:color w:val="auto"/>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本单位2025年度财政拨款收、支总计（含结转和结余）均为1,217.58万元。与2024年度相比，财政拨款收支各减少269.79万元，降低18.1%，主要原因是项目减少。</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本单位2025年度财政拨款本年收入1,217.58万元,比上年减少269.79万元，降低18.1%，主要原因是项目减少；本年支出1,217.58万元，比上年减少269.79万元，降低18.1%，主要原因是项目减少。具体情况如下：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color w:val="auto"/>
          <w:sz w:val="32"/>
          <w:szCs w:val="32"/>
        </w:rPr>
      </w:pPr>
      <w:r>
        <w:rPr>
          <w:rFonts w:ascii="Times New Roman" w:eastAsia="仿宋_GB2312"/>
          <w:b w:val="0"/>
          <w:color w:val="auto"/>
          <w:sz w:val="32"/>
          <w:szCs w:val="32"/>
        </w:rPr>
        <w:t>1. 一般公共预算财政拨款本年收入1,217.58万元,比上年增加74.34万元，增长6.5%，主要原因是</w:t>
      </w:r>
      <w:r>
        <w:rPr>
          <w:rFonts w:hint="eastAsia" w:ascii="Times New Roman" w:eastAsia="仿宋_GB2312"/>
          <w:b w:val="0"/>
          <w:color w:val="auto"/>
          <w:sz w:val="32"/>
          <w:szCs w:val="32"/>
          <w:lang w:eastAsia="zh-CN"/>
        </w:rPr>
        <w:t>一般公共服务支出增加</w:t>
      </w:r>
      <w:r>
        <w:rPr>
          <w:rFonts w:ascii="Times New Roman" w:eastAsia="仿宋_GB2312"/>
          <w:b w:val="0"/>
          <w:color w:val="auto"/>
          <w:sz w:val="32"/>
          <w:szCs w:val="32"/>
        </w:rPr>
        <w:t>；本年支出1,217.58万元，比上年增加74.34万元，增长6.5%，主要原因是</w:t>
      </w:r>
      <w:r>
        <w:rPr>
          <w:rFonts w:hint="eastAsia" w:ascii="Times New Roman" w:eastAsia="仿宋_GB2312"/>
          <w:b w:val="0"/>
          <w:color w:val="auto"/>
          <w:sz w:val="32"/>
          <w:szCs w:val="32"/>
          <w:lang w:eastAsia="zh-CN"/>
        </w:rPr>
        <w:t>一般公共服务支出增加</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政府性基金预算财政拨款本年收入0.00万元，比上年减少344.13万元，降低100.0%，主要原因是2025年未发放占地补偿资金；本年支出0.00万元，比上年减少344.13万元，降低100.0%，主要原因是2025年未支出占地补偿资金。</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0.00万元，比上年增加0.00万元，增长0.00%，主要原因是无国有资本经营预算财政拨款收入；本年支出0.00万元，比上年增加0.00万元，增长0.00%，主要原因是无国有资本经营预算财政拨款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olor w:val="auto"/>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本年收入1,217.58万元，完成年初预算的125.3%，比年初预算增加245.50万元，决算数大于预算数主要原因是实际需求增加；本年支出1,217.58万元，完成年初预算的125.3%，比年初预算增加245.50万元，决算数大于预算数主要原因是实际需求增加。具体情况如下：</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 一般公共预算财政拨款本年收入完成年初预算的141.6%，比年初预算增加357.56万元，主要原因是实际需求增加；支出完成年初预算的141.6%，比年初预算增加357.56万元，主要原因是实际需求增加。</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政府性基金预算财政拨款本年收入完成年初预算的0.0%，比年初预算减少112.06万元，主要原因是无政府性基金预算收入；支出完成年初预算的0.0%，比年初预算减少112.06万元，主要原因是无政府性基金预算支出。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完成年初预算的0.0%，比年初预算增加0.00万元，主要原因是无国有资本经营预算财政拨款收入；支出完成年初预算的0.0%，比年初预算增加0.00万元，主要原因是无国有资本经营预算财政拨款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olor w:val="auto"/>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2025年度财政拨款支出1,217.58万元，主要用于以下方面：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b w:val="0"/>
          <w:color w:val="auto"/>
          <w:sz w:val="32"/>
          <w:szCs w:val="32"/>
        </w:rPr>
      </w:pPr>
      <w:r>
        <w:rPr>
          <w:rFonts w:ascii="Times New Roman" w:eastAsia="仿宋_GB2312"/>
          <w:b w:val="0"/>
          <w:color w:val="auto"/>
          <w:sz w:val="32"/>
          <w:szCs w:val="32"/>
        </w:rPr>
        <w:t>一般公共服务（类）支出496.13万元，占40.7%，主要用于办公运转等支出；社会保障和就业 （类）支出50.76万元，占4.2%，主要用于人员经费等支出；卫生健康（类）支出27.66万元，占2.3%，主要用于医疗保险等支出；城乡社区（类）支出235.00万元，占19.3%，主要用于拆迁补偿等支出；农林水（类）支出369.20万元，占30.3%，主要用于村干部报酬等支出；住房保障（类）支出38.83万元，占3.2%，主要用于住房公积金等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lang w:eastAsia="zh-CN"/>
        </w:rPr>
      </w:pPr>
      <w:r>
        <w:rPr>
          <w:rFonts w:hint="eastAsia" w:ascii="Times New Roman" w:eastAsia="仿宋_GB2312"/>
          <w:b w:val="0"/>
          <w:color w:val="auto"/>
          <w:sz w:val="32"/>
          <w:szCs w:val="32"/>
          <w:lang w:eastAsia="zh-CN"/>
        </w:rPr>
        <w:t>无。</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lang w:eastAsia="zh-CN"/>
        </w:rPr>
      </w:pPr>
      <w:r>
        <w:rPr>
          <w:rFonts w:hint="eastAsia" w:ascii="Times New Roman" w:eastAsia="仿宋_GB2312"/>
          <w:b w:val="0"/>
          <w:color w:val="auto"/>
          <w:sz w:val="32"/>
          <w:szCs w:val="32"/>
          <w:lang w:eastAsia="zh-CN"/>
        </w:rPr>
        <w:t>无。</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2025年度财政拨款基本支出544.77万元，其中：</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人员经费490.15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公用经费54.62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三公”经费财政拨款支出预算为5.20万元，支出决算为4.81万元，完成预算的92.5%，较预算减少0.39万元，降低7.5%，主要原因是实际需求资金减少；较2024年度决算减少0.39万元，降低7.5%，主要原因是实际需求资金减少。</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1.因公出国（境）费支出情况。</w:t>
      </w:r>
      <w:r>
        <w:rPr>
          <w:rFonts w:ascii="Times New Roman" w:eastAsia="仿宋_GB2312"/>
          <w:b w:val="0"/>
          <w:color w:val="auto"/>
          <w:sz w:val="32"/>
          <w:szCs w:val="32"/>
        </w:rPr>
        <w:t>本单位2025年度因公出国（境）费支出预算为0.00万元,支出决算0.00万元。完成预算的0.0%。因公出国（境）费支出较预算增加0.00万元，增长0.0%,主要原因是无因公出国（境）情况；较上年增加0.00万元，增长0.00%,主要原因是无因公出国（境）情况。因公出国（境）团组0个、共0人、参加其他单位组织的因公出国（境）团组0个、共0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2.公务用车购置及运行维护费支出情况。</w:t>
      </w:r>
      <w:r>
        <w:rPr>
          <w:rFonts w:ascii="Times New Roman" w:eastAsia="仿宋_GB2312"/>
          <w:b w:val="0"/>
          <w:color w:val="auto"/>
          <w:sz w:val="32"/>
          <w:szCs w:val="32"/>
        </w:rPr>
        <w:t>本单位2025年度公务用车购置及运行维护费预算为5.20万元，支出决算4.81万元，完成预算的92.5%,较预算减少0.39万元，降低7.5%,主要原因是资金需求减少；较上年减少0.39万元，降低7.5%,主要原因是资金需求减少。其中：</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公务用车购置费支出0.00万元：</w:t>
      </w:r>
      <w:r>
        <w:rPr>
          <w:rFonts w:ascii="Times New Roman" w:eastAsia="仿宋_GB2312"/>
          <w:b w:val="0"/>
          <w:color w:val="auto"/>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公务用车运行维护费支出4.81万元：</w:t>
      </w:r>
      <w:r>
        <w:rPr>
          <w:rFonts w:ascii="Times New Roman" w:eastAsia="仿宋_GB2312"/>
          <w:b w:val="0"/>
          <w:color w:val="auto"/>
          <w:sz w:val="32"/>
          <w:szCs w:val="32"/>
        </w:rPr>
        <w:t>本单位2025年度单位公务用车保有量2辆，发生运行维护费支出4.81万元。公车运行维护费支出较预算减少0.39万元，降低7.5%,主要原因是公车运行维护减少；较上年减少0.39万元，降低7.5%，主要原因是公车运行维护减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3.公务接待费支出情况。</w:t>
      </w:r>
      <w:r>
        <w:rPr>
          <w:rFonts w:ascii="Times New Roman" w:eastAsia="仿宋_GB2312"/>
          <w:b w:val="0"/>
          <w:color w:val="auto"/>
          <w:sz w:val="32"/>
          <w:szCs w:val="32"/>
        </w:rPr>
        <w:t>本单位2025年度公务接待费支出预算为0.00万元，支出决算0.00万元，完成预算的0.0%。公务接待费支出较预算增加0.00万元，增长0.0%,主要原因是未发生公务接待；较上年度增加0.00万元，增长0.00%,主要原因是未发生公务接待。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本单位2025年度机关运行经费支出54.62万元，较2024年度减少4.75万元，降低8.0%。主要原因是人员减少。</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截至2025年12月31日，本单位共有车辆2辆，比上年增加0辆，主要是无新增车辆。其中，副部（省）级及以上领导用车0辆，主要负责人用车0辆，机要通信用车0辆，应急保障用车2辆，执法执勤用车0辆，特种专业技术用车0辆，离退休干部用车0辆，其他用车0辆，其他用车主要是无。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根据预算绩效管理要求，本单位组织对2025年度本级预算项目支出全面开展绩效自评，共涉及资金1,217.58万元（决算金额）。其中，一般公共预算项目</w:t>
      </w:r>
      <w:r>
        <w:rPr>
          <w:rFonts w:hint="eastAsia" w:ascii="Times New Roman" w:eastAsia="仿宋_GB2312"/>
          <w:b w:val="0"/>
          <w:color w:val="auto"/>
          <w:sz w:val="32"/>
          <w:szCs w:val="32"/>
          <w:lang w:val="en-US" w:eastAsia="zh-CN"/>
        </w:rPr>
        <w:t>22</w:t>
      </w:r>
      <w:r>
        <w:rPr>
          <w:rFonts w:ascii="Times New Roman" w:eastAsia="仿宋_GB2312"/>
          <w:b w:val="0"/>
          <w:color w:val="auto"/>
          <w:sz w:val="32"/>
          <w:szCs w:val="32"/>
        </w:rPr>
        <w:t>个，涉及资金1,217.58万元，占一般公共预算项目支出总额的100%；政府性基金预算项目0个，涉及资金0万元，占政府性基金预算项目支出总额的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组织对村干部基本报酬等</w:t>
      </w:r>
      <w:r>
        <w:rPr>
          <w:rFonts w:hint="eastAsia" w:ascii="Times New Roman" w:eastAsia="仿宋_GB2312"/>
          <w:b w:val="0"/>
          <w:color w:val="auto"/>
          <w:sz w:val="32"/>
          <w:szCs w:val="32"/>
          <w:lang w:val="en-US" w:eastAsia="zh-CN"/>
        </w:rPr>
        <w:t>1</w:t>
      </w:r>
      <w:r>
        <w:rPr>
          <w:rFonts w:ascii="Times New Roman" w:eastAsia="仿宋_GB2312"/>
          <w:b w:val="0"/>
          <w:color w:val="auto"/>
          <w:sz w:val="32"/>
          <w:szCs w:val="32"/>
        </w:rPr>
        <w:t>个项目开展了部门重点评价，涉及一般公共预算支出</w:t>
      </w:r>
      <w:r>
        <w:rPr>
          <w:rFonts w:hint="eastAsia" w:ascii="Times New Roman" w:eastAsia="仿宋_GB2312"/>
          <w:b w:val="0"/>
          <w:color w:val="auto"/>
          <w:sz w:val="32"/>
          <w:szCs w:val="32"/>
          <w:lang w:val="en-US" w:eastAsia="zh-CN"/>
        </w:rPr>
        <w:t>45.36</w:t>
      </w:r>
      <w:r>
        <w:rPr>
          <w:rFonts w:ascii="Times New Roman" w:eastAsia="仿宋_GB2312"/>
          <w:b w:val="0"/>
          <w:color w:val="auto"/>
          <w:sz w:val="32"/>
          <w:szCs w:val="32"/>
        </w:rPr>
        <w:t>万元，政府性基金预算支出0万元，国有资本经营预算支出0万元，从评价情况来看，重点项目执行中严格按照县相关规章制度，确保经费使用科学化、制度化、节约化。</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本单位在今年部门决算公开中反映乡镇经费等1个项目绩效自评结果。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乡镇经费项目绩效自评情况：根据年初设定的绩效目标，乡镇经费项目绩效自评得分为100分（绩效自评表附后）。全年预算数为</w:t>
      </w:r>
      <w:r>
        <w:rPr>
          <w:rFonts w:hint="eastAsia" w:ascii="Times New Roman" w:eastAsia="仿宋_GB2312"/>
          <w:b w:val="0"/>
          <w:color w:val="auto"/>
          <w:sz w:val="32"/>
          <w:szCs w:val="32"/>
          <w:lang w:val="en-US" w:eastAsia="zh-CN"/>
        </w:rPr>
        <w:t>34.72</w:t>
      </w:r>
      <w:r>
        <w:rPr>
          <w:rFonts w:ascii="Times New Roman" w:eastAsia="仿宋_GB2312"/>
          <w:b w:val="0"/>
          <w:color w:val="auto"/>
          <w:sz w:val="32"/>
          <w:szCs w:val="32"/>
        </w:rPr>
        <w:t>万元，执行数为</w:t>
      </w:r>
      <w:r>
        <w:rPr>
          <w:rFonts w:hint="eastAsia" w:ascii="Times New Roman" w:eastAsia="仿宋_GB2312"/>
          <w:b w:val="0"/>
          <w:color w:val="auto"/>
          <w:sz w:val="32"/>
          <w:szCs w:val="32"/>
          <w:lang w:val="en-US" w:eastAsia="zh-CN"/>
        </w:rPr>
        <w:t>34.72</w:t>
      </w:r>
      <w:r>
        <w:rPr>
          <w:rFonts w:ascii="Times New Roman" w:eastAsia="仿宋_GB2312"/>
          <w:b w:val="0"/>
          <w:color w:val="auto"/>
          <w:sz w:val="32"/>
          <w:szCs w:val="32"/>
        </w:rPr>
        <w:t>万元，完成预算的100%。项目绩效目标完成情况：一是保障镇政府正常运转；二是按时完成领导交办的各项工作</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lang w:eastAsia="zh-CN"/>
        </w:rPr>
        <w:t>无</w:t>
      </w:r>
      <w:r>
        <w:rPr>
          <w:rFonts w:ascii="Times New Roman" w:eastAsia="仿宋_GB2312"/>
          <w:b w:val="0"/>
          <w:color w:val="auto"/>
          <w:sz w:val="32"/>
          <w:szCs w:val="32"/>
        </w:rPr>
        <w:t>发现的问题</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（三）部门评价项目绩效评价结果（如有）</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无部门评价项目绩效评价结果</w:t>
      </w:r>
    </w:p>
    <w:p>
      <w:pPr>
        <w:widowControl/>
        <w:spacing w:before="0" w:beforeLines="0" w:beforeAutospacing="0" w:after="0" w:afterLines="0" w:afterAutospacing="0" w:line="360" w:lineRule="auto"/>
        <w:ind w:firstLine="640" w:firstLineChars="200"/>
        <w:jc w:val="left"/>
        <w:rPr>
          <w:rFonts w:ascii="Times New Roman" w:eastAsia="黑体"/>
          <w:color w:val="auto"/>
          <w:sz w:val="32"/>
          <w:szCs w:val="32"/>
        </w:rPr>
      </w:pPr>
      <w:r>
        <w:rPr>
          <w:rFonts w:ascii="Times New Roman" w:eastAsia="黑体"/>
          <w:b w:val="0"/>
          <w:color w:val="auto"/>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br w:type="page"/>
      </w: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第四部分 名词解释</w:t>
      </w: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default"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一、财政拨款收入：</w:t>
      </w:r>
      <w:r>
        <w:rPr>
          <w:rFonts w:ascii="Times New Roman" w:eastAsia="仿宋_GB2312"/>
          <w:b w:val="0"/>
          <w:color w:val="auto"/>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二、事业收入：</w:t>
      </w:r>
      <w:r>
        <w:rPr>
          <w:rFonts w:ascii="Times New Roman" w:eastAsia="仿宋_GB2312"/>
          <w:b w:val="0"/>
          <w:color w:val="auto"/>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三、经营收入：</w:t>
      </w:r>
      <w:r>
        <w:rPr>
          <w:rFonts w:ascii="Times New Roman" w:eastAsia="仿宋_GB2312"/>
          <w:b w:val="0"/>
          <w:color w:val="auto"/>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四、其他收入：</w:t>
      </w:r>
      <w:r>
        <w:rPr>
          <w:rFonts w:ascii="Times New Roman" w:eastAsia="仿宋_GB2312"/>
          <w:b w:val="0"/>
          <w:color w:val="auto"/>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五、使用非财政拨款结余（含专用结余）：</w:t>
      </w:r>
      <w:r>
        <w:rPr>
          <w:rFonts w:ascii="Times New Roman" w:eastAsia="仿宋_GB2312"/>
          <w:b w:val="0"/>
          <w:color w:val="auto"/>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六、年初结转和结余：</w:t>
      </w:r>
      <w:r>
        <w:rPr>
          <w:rFonts w:ascii="Times New Roman" w:eastAsia="仿宋_GB2312"/>
          <w:b w:val="0"/>
          <w:color w:val="auto"/>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七、结余分配：</w:t>
      </w:r>
      <w:r>
        <w:rPr>
          <w:rFonts w:ascii="Times New Roman" w:eastAsia="仿宋_GB2312"/>
          <w:b w:val="0"/>
          <w:color w:val="auto"/>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八、年末结转和结余：</w:t>
      </w:r>
      <w:r>
        <w:rPr>
          <w:rFonts w:ascii="Times New Roman" w:eastAsia="仿宋_GB2312"/>
          <w:b w:val="0"/>
          <w:color w:val="auto"/>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九、基本支出：</w:t>
      </w:r>
      <w:r>
        <w:rPr>
          <w:rFonts w:ascii="Times New Roman" w:eastAsia="仿宋_GB2312"/>
          <w:b w:val="0"/>
          <w:color w:val="auto"/>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十、项目支出：</w:t>
      </w:r>
      <w:r>
        <w:rPr>
          <w:rFonts w:ascii="Times New Roman" w:eastAsia="仿宋_GB2312"/>
          <w:b w:val="0"/>
          <w:color w:val="auto"/>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十一、经营支出 ：</w:t>
      </w:r>
      <w:r>
        <w:rPr>
          <w:rFonts w:ascii="Times New Roman" w:eastAsia="仿宋_GB2312"/>
          <w:b w:val="0"/>
          <w:color w:val="auto"/>
          <w:sz w:val="32"/>
          <w:szCs w:val="32"/>
        </w:rPr>
        <w:t>指事业</w:t>
      </w:r>
      <w:bookmarkStart w:id="0" w:name="_GoBack"/>
      <w:bookmarkEnd w:id="0"/>
      <w:r>
        <w:rPr>
          <w:rFonts w:ascii="Times New Roman" w:eastAsia="仿宋_GB2312"/>
          <w:b w:val="0"/>
          <w:color w:val="auto"/>
          <w:sz w:val="32"/>
          <w:szCs w:val="32"/>
        </w:rPr>
        <w:t>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十二、基本建设支出：</w:t>
      </w:r>
      <w:r>
        <w:rPr>
          <w:rFonts w:ascii="Times New Roman" w:eastAsia="仿宋_GB2312"/>
          <w:b w:val="0"/>
          <w:color w:val="auto"/>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十三、其他资本性支出：</w:t>
      </w:r>
      <w:r>
        <w:rPr>
          <w:rFonts w:ascii="Times New Roman" w:eastAsia="仿宋_GB2312"/>
          <w:b w:val="0"/>
          <w:color w:val="auto"/>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十四、“三公”经费：</w:t>
      </w:r>
      <w:r>
        <w:rPr>
          <w:rFonts w:ascii="Times New Roman" w:eastAsia="仿宋_GB2312"/>
          <w:b w:val="0"/>
          <w:color w:val="auto"/>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十五、其他交通费用：</w:t>
      </w:r>
      <w:r>
        <w:rPr>
          <w:rFonts w:ascii="Times New Roman" w:eastAsia="仿宋_GB2312"/>
          <w:b w:val="0"/>
          <w:color w:val="auto"/>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十六、公务用车购置：</w:t>
      </w:r>
      <w:r>
        <w:rPr>
          <w:rFonts w:ascii="Times New Roman" w:eastAsia="仿宋_GB2312"/>
          <w:b w:val="0"/>
          <w:color w:val="auto"/>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十七、其他交通工具购置：</w:t>
      </w:r>
      <w:r>
        <w:rPr>
          <w:rFonts w:ascii="Times New Roman" w:eastAsia="仿宋_GB2312"/>
          <w:b w:val="0"/>
          <w:color w:val="auto"/>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十八、机关运行经费：</w:t>
      </w:r>
      <w:r>
        <w:rPr>
          <w:rFonts w:ascii="Times New Roman" w:eastAsia="仿宋_GB2312"/>
          <w:b w:val="0"/>
          <w:color w:val="auto"/>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30166C6-795D-4976-AF16-C6BC4E27286A}"/>
  </w:font>
  <w:font w:name="黑体">
    <w:panose1 w:val="02010609060101010101"/>
    <w:charset w:val="86"/>
    <w:family w:val="auto"/>
    <w:pitch w:val="default"/>
    <w:sig w:usb0="00000000" w:usb1="00000000" w:usb2="00000000" w:usb3="00000000" w:csb0="00000000" w:csb1="00000000"/>
    <w:embedRegular r:id="rId2" w:fontKey="{8A19973D-438E-4333-851A-AA08BCB6AF8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6705DDAD-879B-4010-9DD9-D22F4E74C671}"/>
  </w:font>
  <w:font w:name="仿宋">
    <w:panose1 w:val="02010609060101010101"/>
    <w:charset w:val="86"/>
    <w:family w:val="modern"/>
    <w:pitch w:val="default"/>
    <w:sig w:usb0="800002BF" w:usb1="38CF7CFA" w:usb2="00000016" w:usb3="00000000" w:csb0="00040001" w:csb1="00000000"/>
    <w:embedRegular r:id="rId4" w:fontKey="{7713CA02-24B2-4937-AA34-A1398FA574B4}"/>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8952244B-C3FF-4791-952C-D6129D3A1D95}"/>
  </w:font>
  <w:font w:name="楷体_GB2312">
    <w:panose1 w:val="02010609030101010101"/>
    <w:charset w:val="86"/>
    <w:family w:val="auto"/>
    <w:pitch w:val="default"/>
    <w:sig w:usb0="00000000" w:usb1="00000000" w:usb2="00000000" w:usb3="00000000" w:csb0="00000000" w:csb1="00000000"/>
    <w:embedRegular r:id="rId6" w:fontKey="{5EE7283A-1F5E-406B-8323-FC73F7CC4789}"/>
  </w:font>
  <w:font w:name="微软雅黑">
    <w:panose1 w:val="020B0503020204020204"/>
    <w:charset w:val="86"/>
    <w:family w:val="auto"/>
    <w:pitch w:val="default"/>
    <w:sig w:usb0="80000287" w:usb1="280F3C52" w:usb2="00000016" w:usb3="00000000" w:csb0="0004001F" w:csb1="00000000"/>
    <w:embedRegular r:id="rId7" w:fontKey="{BC81F8E9-9ABF-44BB-B738-5380FA6F5235}"/>
  </w:font>
  <w:font w:name="方正小标宋_GBK">
    <w:panose1 w:val="02000000000000000000"/>
    <w:charset w:val="86"/>
    <w:family w:val="script"/>
    <w:pitch w:val="default"/>
    <w:sig w:usb0="00000000" w:usb1="00000000" w:usb2="00000000" w:usb3="00000000" w:csb0="00000000" w:csb1="00000000"/>
    <w:embedRegular r:id="rId8" w:fontKey="{06F7A787-FBAF-4ACD-ACA1-B8983E1E2042}"/>
  </w:font>
  <w:font w:name="仿宋_GB2312">
    <w:panose1 w:val="02010609030101010101"/>
    <w:charset w:val="86"/>
    <w:family w:val="auto"/>
    <w:pitch w:val="default"/>
    <w:sig w:usb0="00000000" w:usb1="00000000" w:usb2="00000000" w:usb3="00000000" w:csb0="00000000" w:csb1="00000000"/>
    <w:embedRegular r:id="rId9" w:fontKey="{5E9A850A-D96E-4AFC-8479-6154223D6122}"/>
  </w:font>
  <w:font w:name="ArialUnicodeMS">
    <w:altName w:val="Times New Roman"/>
    <w:panose1 w:val="00000000000000000000"/>
    <w:charset w:val="81"/>
    <w:family w:val="auto"/>
    <w:pitch w:val="default"/>
    <w:sig w:usb0="00000000" w:usb1="00000000" w:usb2="00000010" w:usb3="00000000" w:csb0="00080001" w:csb1="00000000"/>
    <w:embedRegular r:id="rId10" w:fontKey="{FEE3DDAF-9C7B-4265-B72B-C3F570295C63}"/>
  </w:font>
  <w:font w:name="仿宋_GB2312">
    <w:panose1 w:val="0201060903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43716"/>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6D414F"/>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581E5A"/>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B06DC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1217.58</c:v>
                </c:pt>
                <c:pt idx="1">
                  <c:v>1487.37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12175837.84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5447674.46</c:v>
                </c:pt>
                <c:pt idx="1">
                  <c:v>6728163.38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1487.37</c:v>
                </c:pt>
                <c:pt idx="1">
                  <c:v>1487.37</c:v>
                </c:pt>
                <c:pt idx="2">
                  <c:v>1143.24</c:v>
                </c:pt>
                <c:pt idx="3">
                  <c:v>1143.24</c:v>
                </c:pt>
                <c:pt idx="4">
                  <c:v>344.13</c:v>
                </c:pt>
                <c:pt idx="5">
                  <c:v>344.13</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1217.58</c:v>
                </c:pt>
                <c:pt idx="1">
                  <c:v>1217.58</c:v>
                </c:pt>
                <c:pt idx="2">
                  <c:v>1217.58</c:v>
                </c:pt>
                <c:pt idx="3">
                  <c:v>1217.58</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972.08</c:v>
                </c:pt>
                <c:pt idx="1">
                  <c:v>972.08</c:v>
                </c:pt>
                <c:pt idx="2">
                  <c:v>860.02</c:v>
                </c:pt>
                <c:pt idx="3">
                  <c:v>860.02</c:v>
                </c:pt>
                <c:pt idx="4">
                  <c:v>112.06</c:v>
                </c:pt>
                <c:pt idx="5">
                  <c:v>112.06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1217.58</c:v>
                </c:pt>
                <c:pt idx="1">
                  <c:v>1217.58</c:v>
                </c:pt>
                <c:pt idx="2">
                  <c:v>1217.58</c:v>
                </c:pt>
                <c:pt idx="3">
                  <c:v>1217.58</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1</TotalTime>
  <ScaleCrop>false</ScaleCrop>
  <LinksUpToDate>false</LinksUpToDate>
  <CharactersWithSpaces>6550</CharactersWithSpaces>
  <Application>WPS Office_11.1.0.8840_F1E327BC-269C-435d-A152-05C5408002CA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2026-09-18T02:55:11Z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2052-11.1.0.8840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