
<file path=[Content_Types].xml><?xml version="1.0" encoding="utf-8"?>
<Types xmlns="http://schemas.openxmlformats.org/package/2006/content-types">
  <Default ContentType="image/jpeg" Extension="jpeg"/>
  <Default ContentType="image/.jpg" Extension="jpg"/>
  <Default ContentType="application/vnd.openxmlformats-package.relationships+xml" Extension="rels"/>
  <Default ContentType="application/vnd.openxmlformats-officedocument.spreadsheetml.sheet" Extension="xlsx"/>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drawingml.chart+xml" PartName="/word/charts/chart4.xml"/>
  <Override ContentType="application/vnd.openxmlformats-officedocument.drawingml.chart+xml" PartName="/word/charts/chart5.xml"/>
  <Override ContentType="application/vnd.ms-office.chartcolorstyle+xml" PartName="/word/charts/colors1.xml"/>
  <Override ContentType="application/vnd.ms-office.chartcolorstyle+xml" PartName="/word/charts/colors2.xml"/>
  <Override ContentType="application/vnd.ms-office.chartcolorstyle+xml" PartName="/word/charts/colors3.xml"/>
  <Override ContentType="application/vnd.ms-office.chartcolorstyle+xml" PartName="/word/charts/colors4.xml"/>
  <Override ContentType="application/vnd.ms-office.chartcolorstyle+xml" PartName="/word/charts/colors5.xml"/>
  <Override ContentType="application/vnd.ms-office.chartstyle+xml" PartName="/word/charts/style1.xml"/>
  <Override ContentType="application/vnd.ms-office.chartstyle+xml" PartName="/word/charts/style2.xml"/>
  <Override ContentType="application/vnd.ms-office.chartstyle+xml" PartName="/word/charts/style3.xml"/>
  <Override ContentType="application/vnd.ms-office.chartstyle+xml" PartName="/word/charts/style4.xml"/>
  <Override ContentType="application/vnd.ms-office.chartstyle+xml" PartName="/word/charts/style5.xml"/>
  <Override ContentType="application/vnd.openxmlformats-officedocument.wordprocessingml.document.main+xml" PartName="/word/document.xml"/>
  <Override ContentType="application/vnd.openxmlformats-officedocument.obfuscatedFont" PartName="/word/fonts/font1.odttf"/>
  <Override ContentType="application/vnd.openxmlformats-officedocument.obfuscatedFont" PartName="/word/fonts/font2.odttf"/>
  <Override ContentType="application/vnd.openxmlformats-officedocument.obfuscatedFont" PartName="/word/fonts/font3.odttf"/>
  <Override ContentType="application/vnd.openxmlformats-officedocument.obfuscatedFont" PartName="/word/fonts/font4.odttf"/>
  <Override ContentType="application/vnd.openxmlformats-officedocument.obfuscatedFont" PartName="/word/fonts/font5.odttf"/>
  <Override ContentType="application/vnd.openxmlformats-officedocument.obfuscatedFont" PartName="/word/fonts/font6.odttf"/>
  <Override ContentType="application/vnd.openxmlformats-officedocument.obfuscatedFont" PartName="/word/fonts/font7.odttf"/>
  <Override ContentType="application/vnd.openxmlformats-officedocument.obfuscatedFont" PartName="/word/fonts/font8.odttf"/>
  <Override ContentType="application/vnd.openxmlformats-officedocument.obfuscatedFont" PartName="/word/fonts/font9.odttf"/>
  <Override ContentType="application/vnd.openxmlformats-officedocument.obfuscatedFont" PartName="/word/fonts/font10.odttf"/>
  <Override ContentType="application/vnd.openxmlformats-officedocument.wordprocessingml.fontTable+xml" PartName="/word/fontTable.xml"/>
  <Override ContentType="application/vnd.openxmlformats-officedocument.wordprocessingml.footer+xml" PartName="/word/footer.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Created by docx4j 8.3.14 (Apache licensed) using REFERENCE JAXB in Oracle Java 1.8.0_211 on Linux -->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false" relativeHeight="251661312" behindDoc="true" locked="false" layoutInCell="true" allowOverlap="true">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noChangeAspect="true"/>
            </wp:cNvGraphicFramePr>
            <a:graphic>
              <a:graphicData uri="http://schemas.openxmlformats.org/drawingml/2006/picture">
                <pic:pic>
                  <pic:nvPicPr>
                    <pic:cNvPr id="4" name="图片 4" descr="H:\稻壳儿相关资料\封面-非模\01.jpg01"/>
                    <pic:cNvPicPr>
                      <a:picLocks noChangeAspect="true"/>
                    </pic:cNvPicPr>
                  </pic:nvPicPr>
                  <pic:blipFill>
                    <a:blip r:embed="rId10"/>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false" relativeHeight="251659264" behindDoc="false" locked="false" layoutInCell="true" allowOverlap="true">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a:ext uri="{7FBC4E63-A832-4D11-8238-D91031DB1400}">
                      <s:tag xmlns:s="http://www.wps.cn/officeDocument/2013/wpsCustomData" xmlns="http://www.wps.cn/officeDocument/2013/wpsCustomData" xmlns:wpi="http://schemas.microsoft.com/office/word/2010/wordprocessingInk" xmlns:wpsCustomData="http://www.wps.cn/officeDocument/2013/wpsCustomData">
                        <s:item wpsCustomData:name="KSO_DOCER_RESOURCE_TRACE_INFO" wpsCustomData:val="{&quot;id&quot;:&quot;&quot;,&quot;origin&quot;:0,&quot;type&quot;:&quot;wordart&quot;,&quot;user&quot;:&quot;292216292&quot;}"/>
                      </s:tag>
                    </a:ext>
                  </a:extLst>
                </wp:cNvGraphicFramePr>
                <a:graphic>
                  <a:graphicData uri="http://schemas.microsoft.com/office/word/2010/wordprocessingShape">
                    <wps:wsp>
                      <wps:cNvSpPr txBox="true"/>
                      <wps:spPr>
                        <a:xfrm>
                          <a:off x="0" y="0"/>
                          <a:ext cx="6431280" cy="2862580"/>
                        </a:xfrm>
                        <a:prstGeom prst="rect">
                          <a:avLst/>
                        </a:prstGeom>
                        <a:noFill/>
                        <a:ln>
                          <a:noFill/>
                        </a:ln>
                        <a:effectLst/>
                      </wps:spPr>
                      <wps:txbx>
                        <w:txbxContent>
                          <w:p w14:paraId="1CC9E383">
                            <w:pPr>
                              <w:pStyle w:val="10"/>
                              <w:spacing w:before="0" w:beforeAutospacing="false" w:after="0" w:afterAutospacing="false"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false" w:after="0" w:afterAutospacing="false"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true"/>
                    </wps:wsp>
                  </a:graphicData>
                </a:graphic>
              </wp:anchor>
            </w:drawing>
          </mc:Choice>
          <mc:Fallback>
            <w:pict>
              <v:shape o:gfxdata="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" type="#_x0000_t202" alt="7b0a2020202022776f7264617274223a20227b5c2269645c223a32353030323136362c5c227469645c223a5c225c227d220a7d0a" coordsize="21600,21600" style="position:absolute;left:0pt;margin-left:-37.2pt;margin-top:-1.35pt;height:225.4pt;width:506.4pt;z-index:251659264;mso-width-relative:page;mso-height-relative:page;" id="_x0000_s1026" o:spid="_x0000_s1026" stroked="f" filled="f" o:spt="202.0">
                <v:fill on="f" focussize="0,0"/>
                <v:stroke on="f"/>
                <v:imagedata o:title=""/>
                <o:lock aspectratio="f" v:ext="edit"/>
                <v:textbox>
                  <w:txbxContent>
                    <w:p w14:paraId="1CC9E383">
                      <w:pPr>
                        <w:pStyle w:val="10"/>
                        <w:spacing w:before="0" w:beforeAutospacing="false" w:after="0" w:afterAutospacing="false"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false" w:after="0" w:afterAutospacing="false"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
        <w:t>元氏县殷村镇人民政府(本级)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
        <w:t>813001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w:type="default" r:id="rId3"/>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pPr>
        <w:widowControl w:val="true"/>
        <w:spacing w:before="0" w:beforeLines="0" w:beforeAutospacing="false" w:after="0" w:afterLines="0" w:afterAutospacing="false" w:line="360" w:lineRule="auto"/>
        <w:ind/>
        <w:jc w:val="center"/>
        <w:rPr>
          <w:rFonts w:ascii="Times New Roman" w:eastAsia="方正小标宋_GBK"/>
          <w:sz w:val="72"/>
          <w:szCs w:val="72"/>
        </w:rPr>
      </w:pPr>
      <w:r>
        <w:rPr>
          <w:rFonts w:ascii="Times New Roman" w:eastAsia="方正小标宋_GBK"/>
          <w:b w:val="false"/>
          <w:sz w:val="72"/>
          <w:szCs w:val="72"/>
        </w:rPr>
        <w:t>元氏县殷村镇人民政府(本级)</w:t>
      </w:r>
    </w:p>
    <w:p>
      <w:pPr>
        <w:widowControl w:val="true"/>
        <w:spacing w:before="0" w:beforeLines="0" w:beforeAutospacing="false" w:after="0" w:afterLines="0" w:afterAutospacing="false" w:line="360" w:lineRule="auto"/>
        <w:ind/>
        <w:jc w:val="center"/>
        <w:rPr>
          <w:rFonts w:ascii="Times New Roman" w:eastAsia="方正小标宋_GBK"/>
          <w:sz w:val="72"/>
          <w:szCs w:val="72"/>
        </w:rPr>
      </w:pPr>
      <w:r>
        <w:rPr>
          <w:rFonts w:ascii="Times New Roman" w:eastAsia="仿宋_GB2312"/>
          <w:b w:val="false"/>
          <w:sz w:val="72"/>
          <w:szCs w:val="72"/>
        </w:rPr>
        <w:t>2025</w:t>
      </w:r>
      <w:r>
        <w:rPr>
          <w:rFonts w:ascii="Times New Roman" w:eastAsia="方正小标宋_GBK"/>
          <w:b w:val="false"/>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pPr>
        <w:widowControl w:val="true"/>
        <w:spacing w:before="0" w:beforeLines="0" w:beforeAutospacing="false" w:after="0" w:afterLines="0" w:afterAutospacing="false" w:line="360" w:lineRule="auto"/>
        <w:ind/>
        <w:jc w:val="center"/>
        <w:rPr>
          <w:rFonts w:ascii="Times New Roman" w:eastAsia="楷体_GB2312"/>
          <w:sz w:val="44"/>
          <w:szCs w:val="44"/>
        </w:rPr>
      </w:pPr>
      <w:r>
        <w:rPr>
          <w:rFonts w:ascii="Times New Roman" w:eastAsia="楷体_GB2312"/>
          <w:b w:val="false"/>
          <w:sz w:val="44"/>
          <w:szCs w:val="44"/>
        </w:rPr>
        <w:t>元氏县殷村镇人民政府(本级)</w:t>
      </w:r>
    </w:p>
    <w:p>
      <w:pPr>
        <w:widowControl w:val="true"/>
        <w:spacing w:before="0" w:beforeLines="0" w:beforeAutospacing="false" w:after="0" w:afterLines="0" w:afterAutospacing="false" w:line="240" w:lineRule="auto"/>
        <w:ind/>
        <w:jc w:val="center"/>
        <w:rPr>
          <w:rFonts w:ascii="Times New Roman" w:eastAsia="楷体_GB2312"/>
          <w:sz w:val="44"/>
          <w:szCs w:val="44"/>
        </w:rPr>
      </w:pPr>
      <w:r>
        <w:rPr>
          <w:rFonts w:ascii="Times New Roman" w:eastAsia="楷体_GB2312"/>
          <w:b w:val="false"/>
          <w:sz w:val="44"/>
          <w:szCs w:val="44"/>
        </w:rPr>
        <w:t>(加盖公章）</w:t>
      </w:r>
    </w:p>
    <w:p>
      <w:pPr>
        <w:widowControl w:val="true"/>
        <w:spacing w:before="0" w:beforeLines="0" w:beforeAutospacing="false" w:after="0" w:afterLines="0" w:afterAutospacing="false" w:line="360" w:lineRule="auto"/>
        <w:ind/>
        <w:jc w:val="center"/>
        <w:rPr>
          <w:rFonts w:ascii="Times New Roman" w:eastAsia="楷体_GB2312"/>
          <w:sz w:val="44"/>
          <w:szCs w:val="44"/>
        </w:rPr>
      </w:pPr>
      <w:r>
        <w:rPr>
          <w:rFonts w:ascii="Times New Roman" w:eastAsia="楷体_GB2312"/>
          <w:b w:val="false"/>
          <w:sz w:val="44"/>
          <w:szCs w:val="44"/>
        </w:rPr>
        <w:t>二〇二六年</w:t>
      </w:r>
      <w:r>
        <w:rPr>
          <w:rFonts w:ascii="Times New Roman" w:eastAsia="楷体_GB2312"/>
          <w:b w:val="false"/>
          <w:sz w:val="44"/>
          <w:szCs w:val="44"/>
        </w:rPr>
        <w:t>八</w:t>
      </w:r>
      <w:r>
        <w:rPr>
          <w:rFonts w:ascii="Times New Roman" w:eastAsia="楷体_GB2312"/>
          <w:b w:val="false"/>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false"/>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w:type="default" r:id="rId20"/>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val="true"/>
        <w:spacing w:before="0" w:beforeLines="0" w:beforeAutospacing="false" w:after="0" w:afterLines="0" w:afterAutospacing="false" w:line="360" w:lineRule="auto"/>
        <w:ind/>
        <w:jc w:val="center"/>
        <w:outlineLvl w:val="0"/>
        <w:rPr>
          <w:rFonts w:ascii="Times New Roman" w:eastAsia="黑体"/>
          <w:sz w:val="44"/>
          <w:szCs w:val="44"/>
        </w:rPr>
      </w:pPr>
      <w:r>
        <w:rPr>
          <w:rFonts w:ascii="Times New Roman" w:eastAsia="黑体"/>
          <w:b w:val="false"/>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pPr>
        <w:widowControl w:val="true"/>
        <w:spacing w:before="0" w:beforeLines="0" w:beforeAutospacing="false" w:after="0" w:afterLines="0" w:afterAutospacing="false" w:line="360" w:lineRule="auto"/>
        <w:ind/>
        <w:jc w:val="left"/>
        <w:rPr>
          <w:rFonts w:ascii="Times New Roman" w:eastAsia="黑体"/>
          <w:sz w:val="32"/>
          <w:szCs w:val="32"/>
        </w:rPr>
      </w:pPr>
      <w:r>
        <w:rPr>
          <w:rFonts w:ascii="Times New Roman" w:eastAsia="黑体"/>
          <w:b w:val="false"/>
          <w:sz w:val="32"/>
          <w:szCs w:val="32"/>
        </w:rPr>
        <w:t>第一部分 </w:t>
      </w:r>
      <w:r>
        <w:rPr>
          <w:rFonts w:ascii="Times New Roman" w:eastAsia="黑体"/>
          <w:b w:val="false"/>
          <w:sz w:val="32"/>
          <w:szCs w:val="32"/>
        </w:rPr>
        <w:t>单位</w:t>
      </w:r>
      <w:r>
        <w:rPr>
          <w:rFonts w:ascii="Times New Roman" w:eastAsia="黑体"/>
          <w:b w:val="false"/>
          <w:sz w:val="32"/>
          <w:szCs w:val="32"/>
        </w:rPr>
        <w:t>概况</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一、</w:t>
      </w:r>
      <w:r>
        <w:rPr>
          <w:rFonts w:ascii="Times New Roman" w:eastAsia="仿宋_GB2312"/>
          <w:b w:val="false"/>
          <w:sz w:val="32"/>
          <w:szCs w:val="32"/>
        </w:rPr>
        <w:t>单位</w:t>
      </w:r>
      <w:r>
        <w:rPr>
          <w:rFonts w:ascii="Times New Roman" w:eastAsia="仿宋_GB2312"/>
          <w:b w:val="false"/>
          <w:sz w:val="32"/>
          <w:szCs w:val="32"/>
        </w:rPr>
        <w:t>职责</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二、机构设置</w:t>
      </w:r>
    </w:p>
    <w:p>
      <w:pPr>
        <w:widowControl w:val="true"/>
        <w:spacing w:before="0" w:beforeLines="0" w:beforeAutospacing="false" w:after="0" w:afterLines="0" w:afterAutospacing="false" w:line="360" w:lineRule="auto"/>
        <w:ind/>
        <w:jc w:val="left"/>
        <w:outlineLvl w:val="0"/>
        <w:rPr>
          <w:rFonts w:ascii="Times New Roman" w:eastAsia="黑体"/>
          <w:sz w:val="32"/>
          <w:szCs w:val="32"/>
        </w:rPr>
      </w:pPr>
      <w:r>
        <w:rPr>
          <w:rFonts w:ascii="Times New Roman" w:eastAsia="黑体"/>
          <w:b w:val="false"/>
          <w:sz w:val="32"/>
          <w:szCs w:val="32"/>
        </w:rPr>
        <w:t>第二部分 2025年度部门决算报表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一、收入支出决算总表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二、收入决算表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三、支出决算表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四、财政拨款收入支出决算总表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五、一般公共预算财政拨款支出决算表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六、一般公共预算财政拨款基本支出决算明细表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七、政府性基金预算财政拨款收入支出决算表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八、国有资本经营预算财政拨款支出决算表</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九、财政拨款“三公”经费支出决算表</w:t>
      </w:r>
    </w:p>
    <w:p>
      <w:pPr>
        <w:widowControl w:val="true"/>
        <w:spacing w:before="0" w:beforeLines="0" w:beforeAutospacing="false" w:after="0" w:afterLines="0" w:afterAutospacing="false" w:line="360" w:lineRule="auto"/>
        <w:ind/>
        <w:jc w:val="left"/>
        <w:rPr>
          <w:rFonts w:ascii="Times New Roman" w:eastAsia="黑体"/>
          <w:sz w:val="32"/>
          <w:szCs w:val="32"/>
        </w:rPr>
      </w:pPr>
      <w:r>
        <w:rPr>
          <w:rFonts w:ascii="Times New Roman" w:eastAsia="黑体"/>
          <w:b w:val="false"/>
          <w:sz w:val="32"/>
          <w:szCs w:val="32"/>
        </w:rPr>
        <w:t>第三部分 2025年度部门决算情况说明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一、收入支出决算总体情况说明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二、收入决算情况说明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三、支出决算情况说明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四、财政拨款收入支出决算总体情况说明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五、财政拨款“三公”经费支出决算情况说明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六、机关运行经费支出说明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七、政府采购支出说明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八、国有资产占用情况说明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九、关于</w:t>
      </w:r>
      <w:r>
        <w:rPr>
          <w:rFonts w:ascii="Times New Roman" w:eastAsia="仿宋_GB2312"/>
          <w:b w:val="false"/>
          <w:sz w:val="32"/>
          <w:szCs w:val="32"/>
        </w:rPr>
        <w:t>2025</w:t>
      </w:r>
      <w:r>
        <w:rPr>
          <w:rFonts w:ascii="Times New Roman" w:eastAsia="仿宋_GB2312"/>
          <w:b w:val="false"/>
          <w:sz w:val="32"/>
          <w:szCs w:val="32"/>
        </w:rPr>
        <w:t>年度绩效评价情况的说明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十、其他需要说明的情况</w:t>
      </w:r>
    </w:p>
    <w:p>
      <w:pPr>
        <w:widowControl w:val="true"/>
        <w:spacing w:before="0" w:beforeLines="0" w:beforeAutospacing="false" w:after="0" w:afterLines="0" w:afterAutospacing="false" w:line="360" w:lineRule="auto"/>
        <w:ind/>
        <w:jc w:val="left"/>
        <w:rPr>
          <w:rFonts w:ascii="Times New Roman" w:eastAsia="黑体"/>
          <w:sz w:val="32"/>
          <w:szCs w:val="32"/>
        </w:rPr>
      </w:pPr>
      <w:r>
        <w:rPr>
          <w:rFonts w:ascii="Times New Roman" w:eastAsia="黑体"/>
          <w:b w:val="false"/>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w:type="first" r:id="rId5"/>
          <w:footerReference w:type="first" r:id="rId7"/>
          <w:headerReference w:type="default" r:id="rId4"/>
          <w:footerReference w:type="default" r:id="rId6"/>
          <w:footerReference w:type="default" r:id="rId20"/>
          <w:pgSz w:w="11906" w:h="16838"/>
          <w:pgMar w:top="1474" w:right="1531" w:bottom="1474" w:left="1531" w:header="851" w:footer="992" w:gutter="0"/>
          <w:pgBorders>
            <w:top w:val="none" w:sz="0" w:space="0"/>
            <w:left w:val="none" w:sz="0" w:space="0"/>
            <w:bottom w:val="none" w:sz="0" w:space="0"/>
            <w:right w:val="none" w:sz="0" w:space="0"/>
          </w:pgBorders>
          <w:pgNumType/>
          <w:cols w:space="0" w:num="1"/>
          <w:titlePg/>
          <w:docGrid w:type="lines" w:linePitch="312" w:charSpace="0"/>
        </w:sectPr>
      </w:pPr>
    </w:p>
    <w:p w14:paraId="5B2D3D45">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5E349561">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783864AE">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14FE031C">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D3AE84F">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pPr>
        <w:widowControl w:val="true"/>
        <w:spacing w:before="0" w:beforeLines="0" w:beforeAutospacing="false" w:after="0" w:afterLines="0" w:afterAutospacing="false" w:line="360" w:lineRule="auto"/>
        <w:ind/>
        <w:jc w:val="center"/>
        <w:outlineLvl w:val="0"/>
        <w:rPr>
          <w:rFonts w:ascii="Times New Roman" w:eastAsia="黑体"/>
          <w:sz w:val="44"/>
          <w:szCs w:val="44"/>
        </w:rPr>
      </w:pPr>
      <w:r>
        <w:rPr>
          <w:rFonts w:ascii="Times New Roman" w:eastAsia="黑体"/>
          <w:b w:val="false"/>
          <w:sz w:val="44"/>
          <w:szCs w:val="44"/>
        </w:rPr>
        <w:t>第一部分 </w:t>
      </w:r>
      <w:r>
        <w:rPr>
          <w:rFonts w:ascii="Times New Roman" w:eastAsia="黑体"/>
          <w:b w:val="false"/>
          <w:sz w:val="44"/>
          <w:szCs w:val="44"/>
        </w:rPr>
        <w:t>单位</w:t>
      </w:r>
      <w:r>
        <w:rPr>
          <w:rFonts w:ascii="Times New Roman" w:eastAsia="黑体"/>
          <w:b w:val="false"/>
          <w:sz w:val="44"/>
          <w:szCs w:val="44"/>
        </w:rPr>
        <w:t>概况</w:t>
      </w:r>
    </w:p>
    <w:p w14:paraId="2BBB99BC">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5F124E51">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17BCA3C0">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58598B1C">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69F2AE75">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F809153">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48D52C9A">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CD17C2A">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both"/>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2D32F364">
      <w:pPr>
        <w:pStyle w:val="10"/>
        <w:keepNext w:val="false"/>
        <w:keepLines w:val="false"/>
        <w:widowControl/>
        <w:suppressLineNumbers w:val="false"/>
        <w:pBdr>
          <w:top w:val="none" w:color="auto" w:sz="0" w:space="0"/>
          <w:left w:val="none" w:color="auto" w:sz="0" w:space="0"/>
          <w:bottom w:val="none" w:color="auto" w:sz="0" w:space="0"/>
          <w:right w:val="none" w:color="auto" w:sz="0" w:space="0"/>
        </w:pBdr>
        <w:shd w:val="clear" w:fill="FFFFFF"/>
        <w:spacing w:before="0" w:beforeAutospacing="false" w:after="0" w:afterAutospacing="false"/>
        <w:ind w:left="0" w:right="0" w:firstLine="0"/>
        <w:jc w:val="left"/>
        <w:outlineLvl w:val="1"/>
        <w:rPr>
          <w:rFonts w:hint="eastAsia" w:ascii="黑体" w:hAnsi="宋体" w:eastAsia="黑体" w:cs="黑体"/>
          <w:i w:val="false"/>
          <w:iCs w:val="false"/>
          <w:caps w:val="false"/>
          <w:color w:val="000000"/>
          <w:spacing w:val="0"/>
          <w:sz w:val="32"/>
          <w:szCs w:val="32"/>
          <w:highlight w:val="none"/>
          <w:shd w:val="clear" w:fill="FFFFFF"/>
          <w:lang w:val="en-US" w:eastAsia="zh-CN"/>
        </w:rPr>
      </w:pPr>
    </w:p>
    <w:p>
      <w:pPr>
        <w:widowControl w:val="true"/>
        <w:spacing w:before="0" w:beforeLines="0" w:beforeAutospacing="false" w:after="0" w:afterLines="0" w:afterAutospacing="false" w:line="360" w:lineRule="auto"/>
        <w:ind/>
        <w:jc w:val="left"/>
        <w:outlineLvl w:val="1"/>
        <w:rPr>
          <w:rFonts w:ascii="Times New Roman" w:eastAsia="黑体"/>
          <w:sz w:val="32"/>
          <w:szCs w:val="32"/>
        </w:rPr>
      </w:pPr>
      <w:r>
        <w:rPr>
          <w:rFonts w:ascii="Times New Roman" w:eastAsia="黑体"/>
          <w:b w:val="false"/>
          <w:sz w:val="32"/>
          <w:szCs w:val="32"/>
        </w:rPr>
        <w:t>一、</w:t>
      </w:r>
      <w:r>
        <w:rPr>
          <w:rFonts w:ascii="Times New Roman" w:eastAsia="黑体"/>
          <w:b w:val="false"/>
          <w:sz w:val="32"/>
          <w:szCs w:val="32"/>
        </w:rPr>
        <w:t>单位</w:t>
      </w:r>
      <w:r>
        <w:rPr>
          <w:rFonts w:ascii="Times New Roman" w:eastAsia="黑体"/>
          <w:b w:val="false"/>
          <w:sz w:val="32"/>
          <w:szCs w:val="32"/>
        </w:rPr>
        <w:t>职责</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
      </w:r>
    </w:p>
    <w:p>
      <w:pPr>
        <w:widowControl w:val="true"/>
        <w:spacing w:before="0" w:beforeLines="0" w:beforeAutospacing="false" w:after="0" w:afterLines="0" w:afterAutospacing="false" w:line="360" w:lineRule="auto"/>
        <w:ind/>
        <w:jc w:val="left"/>
        <w:outlineLvl w:val="1"/>
        <w:rPr>
          <w:rFonts w:ascii="Times New Roman" w:eastAsia="黑体"/>
          <w:sz w:val="32"/>
          <w:szCs w:val="32"/>
        </w:rPr>
      </w:pPr>
      <w:r>
        <w:rPr>
          <w:rFonts w:ascii="Times New Roman" w:eastAsia="黑体"/>
          <w:b w:val="false"/>
          <w:sz w:val="32"/>
          <w:szCs w:val="32"/>
        </w:rPr>
        <w:t>二、机构设置</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从决算编报单位构成看，纳入</w:t>
      </w:r>
      <w:r>
        <w:rPr>
          <w:rFonts w:ascii="Times New Roman" w:eastAsia="仿宋_GB2312"/>
          <w:b w:val="false"/>
          <w:sz w:val="32"/>
          <w:szCs w:val="32"/>
        </w:rPr>
        <w:t>2025</w:t>
      </w:r>
      <w:r>
        <w:rPr>
          <w:rFonts w:ascii="Times New Roman" w:eastAsia="仿宋_GB2312"/>
          <w:b w:val="false"/>
          <w:sz w:val="32"/>
          <w:szCs w:val="32"/>
        </w:rPr>
        <w:t>年度本部门决算汇编范围的独立核算单位（以下简称“单位”）共 </w:t>
      </w:r>
      <w:r>
        <w:rPr>
          <w:rFonts w:ascii="Times New Roman" w:eastAsia="仿宋_GB2312"/>
          <w:b w:val="false"/>
          <w:sz w:val="32"/>
          <w:szCs w:val="32"/>
        </w:rPr>
        <w:t/>
      </w:r>
      <w:r>
        <w:rPr>
          <w:rFonts w:ascii="Times New Roman" w:eastAsia="仿宋_GB2312"/>
          <w:b w:val="false"/>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
              <w:t>元氏县殷村镇人民政府(本级)</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186D00C">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68C32FA1">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6036BF96">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1B8024B">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pPr>
        <w:widowControl w:val="true"/>
        <w:spacing w:before="0" w:beforeLines="0" w:beforeAutospacing="false" w:after="0" w:afterLines="0" w:afterAutospacing="false" w:line="360" w:lineRule="auto"/>
        <w:ind/>
        <w:jc w:val="center"/>
        <w:outlineLvl w:val="0"/>
        <w:rPr>
          <w:rFonts w:ascii="Times New Roman" w:eastAsia="黑体"/>
          <w:sz w:val="44"/>
          <w:szCs w:val="44"/>
        </w:rPr>
      </w:pPr>
      <w:r>
        <w:rPr>
          <w:rFonts w:ascii="Times New Roman" w:eastAsia="黑体"/>
          <w:b w:val="false"/>
          <w:sz w:val="44"/>
          <w:szCs w:val="44"/>
        </w:rPr>
        <w:t>第二部分 </w:t>
      </w:r>
      <w:r>
        <w:rPr>
          <w:rFonts w:ascii="Times New Roman" w:eastAsia="仿宋_GB2312"/>
          <w:b w:val="false"/>
          <w:sz w:val="44"/>
          <w:szCs w:val="44"/>
        </w:rPr>
        <w:t>2025</w:t>
      </w:r>
      <w:r>
        <w:rPr>
          <w:rFonts w:ascii="Times New Roman" w:eastAsia="黑体"/>
          <w:b w:val="false"/>
          <w:sz w:val="44"/>
          <w:szCs w:val="44"/>
        </w:rPr>
        <w:t>年度部门决算表</w:t>
      </w:r>
    </w:p>
    <w:p w14:paraId="01D1C24A">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40C48EC6">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64754BFA">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53638749">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4B389FE9">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3EC7E16D">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2ECB4FD">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1E7B5CD4">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0"/>
        <w:rPr>
          <w:rFonts w:hint="eastAsia" w:ascii="黑体" w:hAnsi="宋体" w:eastAsia="黑体" w:cs="黑体"/>
          <w:i w:val="false"/>
          <w:iCs w:val="false"/>
          <w:caps w:val="false"/>
          <w:color w:val="000000"/>
          <w:spacing w:val="0"/>
          <w:sz w:val="72"/>
          <w:szCs w:val="72"/>
          <w:highlight w:val="none"/>
          <w:shd w:val="clear" w:fill="FFFFFF"/>
          <w:lang w:val="en-US" w:eastAsia="zh-CN"/>
        </w:rPr>
      </w:pPr>
    </w:p>
    <w:p w14:paraId="05334CA2">
      <w:pPr>
        <w:bidi w:val="false"/>
        <w:rPr>
          <w:rFonts w:hint="default"/>
          <w:lang w:val="en-US" w:eastAsia="zh-CN"/>
        </w:rPr>
      </w:pPr>
    </w:p>
    <w:p w14:paraId="500E5C00">
      <w:pPr>
        <w:bidi w:val="false"/>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false"/>
              <w:keepLines w:val="false"/>
              <w:widowControl/>
              <w:suppressLineNumbers w:val="false"/>
              <w:jc w:val="center"/>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 公开</w:t>
            </w:r>
            <w:r>
              <w:rPr>
                <w:rFonts w:hint="eastAsia" w:ascii="Times New Roman" w:hAnsi="Times New Roman" w:eastAsia="宋体" w:cs="Times New Roman"/>
                <w:i w:val="false"/>
                <w:iCs w:val="false"/>
                <w:color w:val="000000"/>
                <w:sz w:val="20"/>
                <w:szCs w:val="20"/>
                <w:highlight w:val="none"/>
                <w:u w:val="none"/>
                <w:lang w:val="en-US" w:eastAsia="zh-CN"/>
              </w:rPr>
              <w:t/>
              <w:t>01</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部门（单位）：元氏县殷村镇人民政府(本级)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false"/>
                <w:iCs w:val="false"/>
                <w:color w:val="000000"/>
                <w:kern w:val="0"/>
                <w:sz w:val="20"/>
                <w:szCs w:val="20"/>
                <w:highlight w:val="none"/>
                <w:u w:val="none"/>
                <w:lang w:val="en-US" w:eastAsia="zh-CN" w:bidi="ar"/>
              </w:rPr>
            </w:pPr>
            <w:r>
              <w:rPr>
                <w:rFonts w:hint="eastAsia" w:ascii="Times New Roman" w:hAnsi="Times New Roman" w:eastAsia="宋体" w:cs="Times New Roman"/>
                <w:i w:val="false"/>
                <w:iCs w:val="false"/>
                <w:color w:val="000000"/>
                <w:sz w:val="20"/>
                <w:szCs w:val="20"/>
                <w:highlight w:val="none"/>
                <w:u w:val="none"/>
                <w:lang w:val="en-US" w:eastAsia="zh-CN"/>
              </w:rPr>
              <w:t/>
              <w:t>2025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false"/>
                <w:iCs w:val="false"/>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Times New Roman" w:hAnsi="Times New Roman" w:eastAsia="宋体" w:cs="Times New Roman"/>
                <w:i w:val="false"/>
                <w:iCs w:val="false"/>
                <w:color w:val="000000"/>
                <w:sz w:val="20"/>
                <w:szCs w:val="20"/>
                <w:highlight w:val="none"/>
                <w:u w:val="none"/>
                <w:lang w:val="en-US" w:eastAsia="zh-CN"/>
              </w:rPr>
              <w:t/>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false"/>
                <w:iCs w:val="false"/>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Times New Roman" w:hAnsi="Times New Roman" w:eastAsia="宋体" w:cs="Times New Roman"/>
                <w:i w:val="false"/>
                <w:iCs w:val="false"/>
                <w:color w:val="000000"/>
                <w:sz w:val="20"/>
                <w:szCs w:val="20"/>
                <w:highlight w:val="none"/>
                <w:u w:val="none"/>
                <w:lang w:val="en-US" w:eastAsia="zh-CN"/>
              </w:rPr>
              <w:t/>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宋体" w:hAnsi="宋体" w:eastAsia="宋体" w:cs="宋体"/>
                <w:i w:val="false"/>
                <w:iCs w:val="false"/>
                <w:color w:val="000000"/>
                <w:sz w:val="20"/>
                <w:szCs w:val="20"/>
                <w:highlight w:val="none"/>
                <w:u w:val="none"/>
                <w:lang w:val="en-US" w:eastAsia="zh-CN"/>
              </w:rPr>
              <w:t/>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2,098.41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605.70</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56.25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eastAsia="zh-CN"/>
              </w:rPr>
            </w:pPr>
            <w:r>
              <w:rPr>
                <w:rFonts w:hint="default" w:ascii="Times New Roman" w:hAnsi="Times New Roman" w:eastAsia="宋体" w:cs="Times New Roman"/>
                <w:i w:val="false"/>
                <w:iCs w:val="false"/>
                <w:color w:val="000000"/>
                <w:sz w:val="20"/>
                <w:szCs w:val="20"/>
                <w:highlight w:val="none"/>
                <w:u w:val="none"/>
                <w:lang w:val="en-US" w:eastAsia="zh-CN"/>
              </w:rPr>
              <w:t/>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28.08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1,364.51</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eastAsia="zh-CN"/>
              </w:rPr>
            </w:pPr>
            <w:r>
              <w:rPr>
                <w:rFonts w:hint="default" w:ascii="Times New Roman" w:hAnsi="Times New Roman" w:eastAsia="宋体" w:cs="Times New Roman"/>
                <w:i w:val="false"/>
                <w:iCs w:val="false"/>
                <w:color w:val="000000"/>
                <w:sz w:val="20"/>
                <w:szCs w:val="20"/>
                <w:highlight w:val="none"/>
                <w:u w:val="none"/>
                <w:lang w:val="en-US" w:eastAsia="zh-CN"/>
              </w:rPr>
              <w:t/>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43.87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false"/>
                <w:iCs w:val="false"/>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eastAsia="zh-CN"/>
              </w:rPr>
            </w:pPr>
            <w:r>
              <w:rPr>
                <w:rFonts w:hint="default" w:ascii="Times New Roman" w:hAnsi="Times New Roman" w:eastAsia="宋体" w:cs="Times New Roman"/>
                <w:i w:val="false"/>
                <w:iCs w:val="false"/>
                <w:color w:val="000000"/>
                <w:sz w:val="20"/>
                <w:szCs w:val="20"/>
                <w:highlight w:val="none"/>
                <w:u w:val="none"/>
                <w:lang w:val="en-US" w:eastAsia="zh-CN"/>
              </w:rPr>
              <w:t/>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kern w:val="0"/>
                <w:sz w:val="20"/>
                <w:szCs w:val="20"/>
                <w:highlight w:val="none"/>
                <w:u w:val="none"/>
                <w:lang w:val="en-US" w:eastAsia="zh-CN" w:bidi="ar"/>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false"/>
                <w:iCs w:val="false"/>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kern w:val="0"/>
                <w:sz w:val="20"/>
                <w:szCs w:val="20"/>
                <w:highlight w:val="none"/>
                <w:u w:val="none"/>
                <w:lang w:val="en-US" w:eastAsia="zh-CN" w:bidi="ar"/>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false"/>
                <w:iCs w:val="false"/>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注：1.本表反映部门本年度的总收支和年末结转结余情况。</w:t>
            </w:r>
          </w:p>
          <w:p w14:paraId="50B55D94">
            <w:pPr>
              <w:keepNext w:val="false"/>
              <w:keepLines w:val="false"/>
              <w:widowControl/>
              <w:suppressLineNumbers w:val="false"/>
              <w:ind w:firstLine="400" w:firstLineChars="200"/>
              <w:jc w:val="left"/>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2.本套报表金额转换时可能存在尾数误差。</w:t>
            </w:r>
          </w:p>
        </w:tc>
      </w:tr>
    </w:tbl>
    <w:p w14:paraId="477D721E">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false"/>
              <w:keepLines w:val="false"/>
              <w:widowControl/>
              <w:suppressLineNumbers w:val="false"/>
              <w:jc w:val="center"/>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公开</w:t>
            </w:r>
            <w:r>
              <w:rPr>
                <w:rFonts w:hint="eastAsia" w:ascii="Times New Roman" w:hAnsi="Times New Roman" w:eastAsia="宋体" w:cs="Times New Roman"/>
                <w:i w:val="false"/>
                <w:iCs w:val="false"/>
                <w:color w:val="000000"/>
                <w:sz w:val="20"/>
                <w:szCs w:val="20"/>
                <w:highlight w:val="none"/>
                <w:u w:val="none"/>
                <w:lang w:val="en-US" w:eastAsia="zh-CN"/>
              </w:rPr>
              <w:t/>
              <w:t>02</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部门（单位）：元氏县殷村镇人民政府(本级)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pPr>
            <w:r>
              <w:rPr>
                <w:rFonts w:hint="default" w:ascii="Times New Roman" w:hAnsi="Times New Roman" w:eastAsia="方正仿宋_GB2312" w:cs="Times New Roman"/>
                <w:i w:val="false"/>
                <w:iCs w:val="false"/>
                <w:color w:val="000000"/>
                <w:sz w:val="20"/>
                <w:szCs w:val="20"/>
                <w:highlight w:val="none"/>
                <w:u w:val="none"/>
                <w:lang w:val="en-US" w:eastAsia="zh-CN"/>
              </w:rPr>
              <w:t/>
              <w:t>202</w:t>
            </w:r>
            <w:r>
              <w:rPr>
                <w:rFonts w:hint="eastAsia" w:ascii="Times New Roman" w:hAnsi="Times New Roman" w:eastAsia="方正仿宋_GB2312" w:cs="Times New Roman"/>
                <w:i w:val="false"/>
                <w:iCs w:val="false"/>
                <w:color w:val="000000"/>
                <w:sz w:val="20"/>
                <w:szCs w:val="20"/>
                <w:highlight w:val="none"/>
                <w:u w:val="none"/>
                <w:lang w:val="en-US" w:eastAsia="zh-CN"/>
              </w:rPr>
              <w:t/>
              <w:t>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2435B0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8FE0E0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19F8CE6">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CD2CD69">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CF8388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EC5CA7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68DD824">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11F531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D40809E">
            <w:pPr>
              <w:jc w:val="center"/>
              <w:rPr>
                <w:rFonts w:hint="eastAsia" w:ascii="宋体" w:hAnsi="宋体" w:eastAsia="宋体" w:cs="宋体"/>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F7A2E0A">
            <w:pPr>
              <w:jc w:val="center"/>
              <w:rPr>
                <w:rFonts w:hint="eastAsia" w:ascii="宋体" w:hAnsi="宋体" w:eastAsia="宋体" w:cs="宋体"/>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800E84D">
            <w:pPr>
              <w:jc w:val="center"/>
              <w:rPr>
                <w:rFonts w:hint="eastAsia" w:ascii="宋体" w:hAnsi="宋体" w:eastAsia="宋体" w:cs="宋体"/>
                <w:i w:val="false"/>
                <w:iCs w:val="false"/>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2E02862">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2C1BCFA">
            <w:pPr>
              <w:jc w:val="center"/>
              <w:rPr>
                <w:rFonts w:hint="eastAsia" w:ascii="宋体" w:hAnsi="宋体" w:eastAsia="宋体" w:cs="宋体"/>
                <w:i w:val="false"/>
                <w:iCs w:val="false"/>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0EBDB18">
            <w:pPr>
              <w:jc w:val="center"/>
              <w:rPr>
                <w:rFonts w:hint="eastAsia" w:ascii="宋体" w:hAnsi="宋体" w:eastAsia="宋体" w:cs="宋体"/>
                <w:i w:val="false"/>
                <w:iCs w:val="false"/>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D5BB202">
            <w:pPr>
              <w:jc w:val="center"/>
              <w:rPr>
                <w:rFonts w:hint="eastAsia" w:ascii="宋体" w:hAnsi="宋体" w:eastAsia="宋体" w:cs="宋体"/>
                <w:i w:val="false"/>
                <w:iCs w:val="false"/>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42E5E00">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CB734D3">
            <w:pPr>
              <w:jc w:val="center"/>
              <w:rPr>
                <w:rFonts w:hint="eastAsia" w:ascii="宋体" w:hAnsi="宋体" w:eastAsia="宋体" w:cs="宋体"/>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CEF5C4D">
            <w:pPr>
              <w:jc w:val="center"/>
              <w:rPr>
                <w:rFonts w:hint="eastAsia" w:ascii="宋体" w:hAnsi="宋体" w:eastAsia="宋体" w:cs="宋体"/>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0ECB154">
            <w:pPr>
              <w:jc w:val="center"/>
              <w:rPr>
                <w:rFonts w:hint="eastAsia" w:ascii="宋体" w:hAnsi="宋体" w:eastAsia="宋体" w:cs="宋体"/>
                <w:i w:val="false"/>
                <w:iCs w:val="false"/>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1589FB5">
            <w:pPr>
              <w:jc w:val="center"/>
              <w:rPr>
                <w:rFonts w:hint="eastAsia" w:ascii="宋体" w:hAnsi="宋体" w:eastAsia="宋体" w:cs="宋体"/>
                <w:i w:val="false"/>
                <w:iCs w:val="false"/>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1299A01">
            <w:pPr>
              <w:jc w:val="center"/>
              <w:rPr>
                <w:rFonts w:hint="eastAsia" w:ascii="宋体" w:hAnsi="宋体" w:eastAsia="宋体" w:cs="宋体"/>
                <w:i w:val="false"/>
                <w:iCs w:val="false"/>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E91B644">
            <w:pPr>
              <w:jc w:val="center"/>
              <w:rPr>
                <w:rFonts w:hint="eastAsia" w:ascii="宋体" w:hAnsi="宋体" w:eastAsia="宋体" w:cs="宋体"/>
                <w:i w:val="false"/>
                <w:iCs w:val="false"/>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393016C">
            <w:pPr>
              <w:jc w:val="center"/>
              <w:rPr>
                <w:rFonts w:hint="eastAsia" w:ascii="宋体" w:hAnsi="宋体" w:eastAsia="宋体" w:cs="宋体"/>
                <w:i w:val="false"/>
                <w:iCs w:val="false"/>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B02CA71">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83D536F">
            <w:pPr>
              <w:jc w:val="center"/>
              <w:rPr>
                <w:rFonts w:hint="eastAsia" w:ascii="宋体" w:hAnsi="宋体" w:eastAsia="宋体" w:cs="宋体"/>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ED49946">
            <w:pPr>
              <w:jc w:val="center"/>
              <w:rPr>
                <w:rFonts w:hint="eastAsia" w:ascii="宋体" w:hAnsi="宋体" w:eastAsia="宋体" w:cs="宋体"/>
                <w:i w:val="false"/>
                <w:iCs w:val="false"/>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1A316C2">
            <w:pPr>
              <w:jc w:val="center"/>
              <w:rPr>
                <w:rFonts w:hint="eastAsia" w:ascii="宋体" w:hAnsi="宋体" w:eastAsia="宋体" w:cs="宋体"/>
                <w:i w:val="false"/>
                <w:iCs w:val="false"/>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CD27F39">
            <w:pPr>
              <w:jc w:val="center"/>
              <w:rPr>
                <w:rFonts w:hint="eastAsia" w:ascii="宋体" w:hAnsi="宋体" w:eastAsia="宋体" w:cs="宋体"/>
                <w:i w:val="false"/>
                <w:iCs w:val="false"/>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F10B017">
            <w:pPr>
              <w:jc w:val="center"/>
              <w:rPr>
                <w:rFonts w:hint="eastAsia" w:ascii="宋体" w:hAnsi="宋体" w:eastAsia="宋体" w:cs="宋体"/>
                <w:i w:val="false"/>
                <w:iCs w:val="false"/>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626CD8F">
            <w:pPr>
              <w:jc w:val="center"/>
              <w:rPr>
                <w:rFonts w:hint="eastAsia" w:ascii="宋体" w:hAnsi="宋体" w:eastAsia="宋体" w:cs="宋体"/>
                <w:i w:val="false"/>
                <w:iCs w:val="false"/>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8973235">
            <w:pPr>
              <w:jc w:val="center"/>
              <w:rPr>
                <w:rFonts w:hint="eastAsia" w:ascii="宋体" w:hAnsi="宋体" w:eastAsia="宋体" w:cs="宋体"/>
                <w:i w:val="false"/>
                <w:iCs w:val="false"/>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419938B">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E6504A8">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3B73DE2">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AC19557">
            <w:pPr>
              <w:keepNext w:val="false"/>
              <w:keepLines w:val="false"/>
              <w:widowControl/>
              <w:suppressLineNumbers w:val="false"/>
              <w:jc w:val="center"/>
              <w:textAlignment w:val="center"/>
              <w:rPr>
                <w:rFonts w:hint="default" w:ascii="宋体" w:hAnsi="宋体" w:eastAsia="宋体" w:cs="宋体"/>
                <w:i w:val="false"/>
                <w:iCs w:val="false"/>
                <w:color w:val="000000"/>
                <w:sz w:val="20"/>
                <w:szCs w:val="20"/>
                <w:highlight w:val="none"/>
                <w:u w:val="none"/>
                <w:lang w:val="en-US" w:eastAsia="zh-CN"/>
              </w:rPr>
            </w:pPr>
            <w:r>
              <w:rPr>
                <w:rFonts w:hint="eastAsia" w:ascii="宋体" w:hAnsi="宋体" w:eastAsia="宋体" w:cs="宋体"/>
                <w:i w:val="false"/>
                <w:iCs w:val="false"/>
                <w:color w:val="000000"/>
                <w:sz w:val="20"/>
                <w:szCs w:val="20"/>
                <w:highlight w:val="none"/>
                <w:u w:val="none"/>
                <w:lang w:val="en-US" w:eastAsia="zh-CN"/>
              </w:rPr>
              <w:t/>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ABCFDD5">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13571CC">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CA04C90">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2,255.93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2,255.93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473.71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473.71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false"/>
                <w:iCs w:val="false"/>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w: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false"/>
              <w:keepLines w:val="false"/>
              <w:widowControl/>
              <w:suppressLineNumbers w:val="false"/>
              <w:jc w:val="left"/>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注：本表反映部门本年度取得的各项收入情况。</w:t>
            </w:r>
          </w:p>
        </w:tc>
      </w:tr>
    </w:tbl>
    <w:p w14:paraId="68CDE5D3">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false"/>
              <w:keepLines w:val="false"/>
              <w:pageBreakBefore w:val="false"/>
              <w:widowControl w:val="false"/>
              <w:kinsoku/>
              <w:wordWrap/>
              <w:overflowPunct/>
              <w:topLinePunct w:val="false"/>
              <w:autoSpaceDE/>
              <w:autoSpaceDN/>
              <w:bidi w:val="false"/>
              <w:adjustRightInd/>
              <w:snapToGrid/>
              <w:spacing w:line="240" w:lineRule="auto"/>
              <w:jc w:val="center"/>
              <w:textAlignment w:val="auto"/>
              <w:outlineLvl w:val="1"/>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br w:type="page"/>
            </w:r>
            <w:r>
              <w:rPr>
                <w:rFonts w:hint="eastAsia" w:ascii="方正仿宋_GB2312" w:hAnsi="方正仿宋_GB2312" w:eastAsia="方正仿宋_GB2312" w:cs="方正仿宋_GB2312"/>
                <w:b w:val="false"/>
                <w:bCs/>
                <w:color w:val="auto"/>
                <w:kern w:val="0"/>
                <w:sz w:val="32"/>
                <w:szCs w:val="32"/>
                <w:highlight w:val="none"/>
                <w:lang w:val="en-US" w:eastAsia="zh-CN"/>
              </w:rPr>
              <w:t/>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公开</w:t>
            </w:r>
            <w:r>
              <w:rPr>
                <w:rFonts w:hint="default" w:ascii="Times New Roman" w:hAnsi="Times New Roman" w:eastAsia="宋体" w:cs="Times New Roman"/>
                <w:i w:val="false"/>
                <w:iCs w:val="false"/>
                <w:color w:val="000000"/>
                <w:kern w:val="0"/>
                <w:sz w:val="20"/>
                <w:szCs w:val="20"/>
                <w:highlight w:val="none"/>
                <w:u w:val="none"/>
                <w:lang w:val="en-US" w:eastAsia="zh-CN" w:bidi="ar"/>
              </w:rPr>
              <w:t/>
              <w:t>03</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false"/>
              <w:keepLines w:val="false"/>
              <w:widowControl/>
              <w:suppressLineNumbers w:val="false"/>
              <w:jc w:val="lef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部门（单位）：元氏县殷村镇人民政府(本级) </w:t>
            </w:r>
            <w:r>
              <w:rPr>
                <w:rFonts w:hint="eastAsia" w:asciiTheme="minorEastAsia" w:hAnsiTheme="minorEastAsia" w:eastAsiaTheme="minorEastAsia" w:cstheme="minorEastAsia"/>
                <w:i w:val="false"/>
                <w:iCs w:val="false"/>
                <w:color w:val="000000"/>
                <w:kern w:val="0"/>
                <w:sz w:val="20"/>
                <w:szCs w:val="20"/>
                <w:highlight w:val="none"/>
                <w:u w:val="none"/>
                <w:lang w:val="en-US" w:eastAsia="zh-CN" w:bidi="ar"/>
              </w:rPr>
              <w:t xml:space="preserve"/>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false"/>
              <w:keepLines w:val="false"/>
              <w:widowControl/>
              <w:suppressLineNumbers w:val="false"/>
              <w:jc w:val="center"/>
              <w:textAlignment w:val="bottom"/>
              <w:rPr>
                <w:rFonts w:hint="eastAsia" w:asciiTheme="minorEastAsia" w:hAnsiTheme="minorEastAsia" w:eastAsiaTheme="minorEastAsia" w:cstheme="minorEastAsia"/>
                <w:i w:val="false"/>
                <w:iCs w:val="false"/>
                <w:color w:val="000000"/>
                <w:kern w:val="0"/>
                <w:sz w:val="20"/>
                <w:szCs w:val="20"/>
                <w:highlight w:val="none"/>
                <w:u w:val="none"/>
                <w:lang w:val="en-US" w:eastAsia="zh-CN" w:bidi="ar"/>
              </w:rPr>
            </w:pPr>
            <w:r>
              <w:rPr>
                <w:rFonts w:hint="default" w:ascii="Times New Roman" w:hAnsi="Times New Roman" w:cs="Times New Roman" w:eastAsiaTheme="minorEastAsia"/>
                <w:i w:val="false"/>
                <w:iCs w:val="false"/>
                <w:color w:val="000000"/>
                <w:kern w:val="0"/>
                <w:sz w:val="20"/>
                <w:szCs w:val="20"/>
                <w:highlight w:val="none"/>
                <w:u w:val="none"/>
                <w:lang w:val="en-US" w:eastAsia="zh-CN" w:bidi="ar"/>
              </w:rPr>
              <w:t/>
              <w:t>202</w:t>
            </w:r>
            <w:r>
              <w:rPr>
                <w:rFonts w:hint="eastAsia" w:ascii="Times New Roman" w:hAnsi="Times New Roman" w:cs="Times New Roman"/>
                <w:i w:val="false"/>
                <w:iCs w:val="false"/>
                <w:color w:val="000000"/>
                <w:kern w:val="0"/>
                <w:sz w:val="20"/>
                <w:szCs w:val="20"/>
                <w:highlight w:val="none"/>
                <w:u w:val="none"/>
                <w:lang w:val="en-US" w:eastAsia="zh-CN" w:bidi="ar"/>
              </w:rPr>
              <w:t/>
              <w:t>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1734" w:type="pct"/>
            <w:gridSpan w:val="3"/>
            <w:tcBorders>
              <w:top w:val="nil"/>
              <w:left w:val="nil"/>
              <w:bottom w:val="single" w:color="000000" w:themeColor="text1" w:sz="8" w:space="0"/>
              <w:right w:val="nil"/>
            </w:tcBorders>
            <w:noWrap/>
            <w:vAlign w:val="bottom"/>
          </w:tcPr>
          <w:p w14:paraId="272F664D">
            <w:pPr>
              <w:keepNext w:val="false"/>
              <w:keepLines w:val="false"/>
              <w:widowControl/>
              <w:suppressLineNumbers w:val="false"/>
              <w:jc w:val="right"/>
              <w:textAlignment w:val="bottom"/>
              <w:rPr>
                <w:rFonts w:hint="eastAsia" w:asciiTheme="minorEastAsia" w:hAnsiTheme="minorEastAsia" w:eastAsiaTheme="minorEastAsia" w:cstheme="minorEastAsia"/>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17D4DD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8633EC8">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23FC8B8">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2DA50C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A8C99A7">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E312A4B">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5D872E5">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E377F0B">
            <w:pPr>
              <w:jc w:val="center"/>
              <w:rPr>
                <w:rFonts w:hint="eastAsia" w:ascii="宋体" w:hAnsi="宋体" w:eastAsia="宋体" w:cs="宋体"/>
                <w:i w:val="false"/>
                <w:iCs w:val="false"/>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CF57704">
            <w:pPr>
              <w:jc w:val="center"/>
              <w:rPr>
                <w:rFonts w:hint="eastAsia" w:ascii="宋体" w:hAnsi="宋体" w:eastAsia="宋体" w:cs="宋体"/>
                <w:i w:val="false"/>
                <w:iCs w:val="false"/>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48D3FFE">
            <w:pPr>
              <w:jc w:val="center"/>
              <w:rPr>
                <w:rFonts w:hint="eastAsia" w:ascii="宋体" w:hAnsi="宋体" w:eastAsia="宋体" w:cs="宋体"/>
                <w:i w:val="false"/>
                <w:iCs w:val="false"/>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A153672">
            <w:pPr>
              <w:jc w:val="center"/>
              <w:rPr>
                <w:rFonts w:hint="eastAsia" w:ascii="宋体" w:hAnsi="宋体" w:eastAsia="宋体" w:cs="宋体"/>
                <w:i w:val="false"/>
                <w:iCs w:val="false"/>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A7CA1DC">
            <w:pPr>
              <w:jc w:val="center"/>
              <w:rPr>
                <w:rFonts w:hint="eastAsia" w:ascii="宋体" w:hAnsi="宋体" w:eastAsia="宋体" w:cs="宋体"/>
                <w:i w:val="false"/>
                <w:iCs w:val="false"/>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E1B3486">
            <w:pPr>
              <w:jc w:val="center"/>
              <w:rPr>
                <w:rFonts w:hint="eastAsia" w:ascii="宋体" w:hAnsi="宋体" w:eastAsia="宋体" w:cs="宋体"/>
                <w:i w:val="false"/>
                <w:iCs w:val="false"/>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C0E4539">
            <w:pPr>
              <w:jc w:val="center"/>
              <w:rPr>
                <w:rFonts w:hint="eastAsia" w:ascii="宋体" w:hAnsi="宋体" w:eastAsia="宋体" w:cs="宋体"/>
                <w:i w:val="false"/>
                <w:iCs w:val="false"/>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false"/>
                <w:iCs w:val="false"/>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AD03000">
            <w:pPr>
              <w:jc w:val="center"/>
              <w:rPr>
                <w:rFonts w:hint="eastAsia" w:ascii="宋体" w:hAnsi="宋体" w:eastAsia="宋体" w:cs="宋体"/>
                <w:i w:val="false"/>
                <w:iCs w:val="false"/>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B1E0842">
            <w:pPr>
              <w:jc w:val="center"/>
              <w:rPr>
                <w:rFonts w:hint="eastAsia" w:ascii="宋体" w:hAnsi="宋体" w:eastAsia="宋体" w:cs="宋体"/>
                <w:i w:val="false"/>
                <w:iCs w:val="false"/>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7865F90">
            <w:pPr>
              <w:jc w:val="center"/>
              <w:rPr>
                <w:rFonts w:hint="eastAsia" w:ascii="宋体" w:hAnsi="宋体" w:eastAsia="宋体" w:cs="宋体"/>
                <w:i w:val="false"/>
                <w:iCs w:val="false"/>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4493D37">
            <w:pPr>
              <w:jc w:val="center"/>
              <w:rPr>
                <w:rFonts w:hint="eastAsia" w:ascii="宋体" w:hAnsi="宋体" w:eastAsia="宋体" w:cs="宋体"/>
                <w:i w:val="false"/>
                <w:iCs w:val="false"/>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DB3CC06">
            <w:pPr>
              <w:jc w:val="center"/>
              <w:rPr>
                <w:rFonts w:hint="eastAsia" w:ascii="宋体" w:hAnsi="宋体" w:eastAsia="宋体" w:cs="宋体"/>
                <w:i w:val="false"/>
                <w:iCs w:val="false"/>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8210C31">
            <w:pPr>
              <w:jc w:val="center"/>
              <w:rPr>
                <w:rFonts w:hint="eastAsia" w:ascii="宋体" w:hAnsi="宋体" w:eastAsia="宋体" w:cs="宋体"/>
                <w:i w:val="false"/>
                <w:iCs w:val="false"/>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0B67C9D">
            <w:pPr>
              <w:jc w:val="center"/>
              <w:rPr>
                <w:rFonts w:hint="eastAsia" w:ascii="宋体" w:hAnsi="宋体" w:eastAsia="宋体" w:cs="宋体"/>
                <w:i w:val="false"/>
                <w:iCs w:val="false"/>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false"/>
                <w:iCs w:val="false"/>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CB0F352">
            <w:pPr>
              <w:jc w:val="center"/>
              <w:rPr>
                <w:rFonts w:hint="eastAsia" w:ascii="宋体" w:hAnsi="宋体" w:eastAsia="宋体" w:cs="宋体"/>
                <w:i w:val="false"/>
                <w:iCs w:val="false"/>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C964F70">
            <w:pPr>
              <w:jc w:val="center"/>
              <w:rPr>
                <w:rFonts w:hint="eastAsia" w:ascii="宋体" w:hAnsi="宋体" w:eastAsia="宋体" w:cs="宋体"/>
                <w:i w:val="false"/>
                <w:iCs w:val="false"/>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CD4E6CE">
            <w:pPr>
              <w:jc w:val="center"/>
              <w:rPr>
                <w:rFonts w:hint="eastAsia" w:ascii="宋体" w:hAnsi="宋体" w:eastAsia="宋体" w:cs="宋体"/>
                <w:i w:val="false"/>
                <w:iCs w:val="false"/>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90026C4">
            <w:pPr>
              <w:jc w:val="center"/>
              <w:rPr>
                <w:rFonts w:hint="eastAsia" w:ascii="宋体" w:hAnsi="宋体" w:eastAsia="宋体" w:cs="宋体"/>
                <w:i w:val="false"/>
                <w:iCs w:val="false"/>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D591BDF">
            <w:pPr>
              <w:jc w:val="center"/>
              <w:rPr>
                <w:rFonts w:hint="eastAsia" w:ascii="宋体" w:hAnsi="宋体" w:eastAsia="宋体" w:cs="宋体"/>
                <w:i w:val="false"/>
                <w:iCs w:val="false"/>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B174657">
            <w:pPr>
              <w:jc w:val="center"/>
              <w:rPr>
                <w:rFonts w:hint="eastAsia" w:ascii="宋体" w:hAnsi="宋体" w:eastAsia="宋体" w:cs="宋体"/>
                <w:i w:val="false"/>
                <w:iCs w:val="false"/>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5C3AC10">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11B6A1C">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F698D0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D8E7F9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98353A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71ECD00">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591.11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1,664.82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t>605.70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t>473.71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t>131.99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605.70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473.71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131.99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473.71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473.71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131.99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131.99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56.25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45.45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45.45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45.45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44.03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44.03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19.08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19.08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9.01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9.01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1,364.51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1,364.51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2130126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农村社会事业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30.00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30.00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1,050.76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1,050.76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157.52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157.52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157.52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157.52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157.52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157.52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false"/>
              <w:keepLines w:val="false"/>
              <w:widowControl/>
              <w:suppressLineNumbers w:val="false"/>
              <w:jc w:val="left"/>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注：本表反映部门本年度各项支出情况。</w:t>
            </w:r>
          </w:p>
        </w:tc>
      </w:tr>
    </w:tbl>
    <w:p w14:paraId="47632FCE">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false"/>
              <w:keepLines w:val="false"/>
              <w:widowControl/>
              <w:suppressLineNumbers w:val="false"/>
              <w:jc w:val="center"/>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公开</w:t>
            </w: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04</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部门（单位）：元氏县殷村镇人民政府(本级) </w:t>
            </w:r>
            <w:r>
              <w:rPr>
                <w:rFonts w:hint="eastAsia" w:asciiTheme="minorEastAsia" w:hAnsiTheme="minorEastAsia" w:eastAsiaTheme="minorEastAsia" w:cstheme="minorEastAsia"/>
                <w:i w:val="false"/>
                <w:iCs w:val="false"/>
                <w:color w:val="000000"/>
                <w:kern w:val="0"/>
                <w:sz w:val="20"/>
                <w:szCs w:val="20"/>
                <w:highlight w:val="none"/>
                <w:u w:val="none"/>
                <w:lang w:val="en-US" w:eastAsia="zh-CN" w:bidi="ar"/>
              </w:rPr>
              <w:t xml:space="preserve"/>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false"/>
                <w:iCs w:val="false"/>
                <w:color w:val="000000"/>
                <w:kern w:val="0"/>
                <w:sz w:val="20"/>
                <w:szCs w:val="20"/>
                <w:highlight w:val="none"/>
                <w:u w:val="none"/>
                <w:lang w:val="en-US" w:eastAsia="zh-CN" w:bidi="ar"/>
              </w:rPr>
            </w:pPr>
            <w:r>
              <w:rPr>
                <w:rFonts w:hint="default" w:ascii="Times New Roman" w:hAnsi="Times New Roman" w:cs="Times New Roman"/>
                <w:i w:val="false"/>
                <w:iCs w:val="false"/>
                <w:color w:val="000000"/>
                <w:kern w:val="0"/>
                <w:sz w:val="20"/>
                <w:szCs w:val="20"/>
                <w:highlight w:val="none"/>
                <w:u w:val="none"/>
                <w:lang w:val="en-US" w:eastAsia="zh-CN" w:bidi="ar"/>
              </w:rPr>
              <w:t/>
              <w:t>202</w:t>
            </w:r>
            <w:r>
              <w:rPr>
                <w:rFonts w:hint="eastAsia" w:ascii="Times New Roman" w:hAnsi="Times New Roman" w:cs="Times New Roman"/>
                <w:i w:val="false"/>
                <w:iCs w:val="false"/>
                <w:color w:val="000000"/>
                <w:kern w:val="0"/>
                <w:sz w:val="20"/>
                <w:szCs w:val="20"/>
                <w:highlight w:val="none"/>
                <w:u w:val="none"/>
                <w:lang w:val="en-US" w:eastAsia="zh-CN" w:bidi="ar"/>
              </w:rPr>
              <w:t/>
              <w:t>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false"/>
              <w:keepLines w:val="false"/>
              <w:widowControl/>
              <w:suppressLineNumbers w:val="false"/>
              <w:jc w:val="center"/>
              <w:textAlignment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false"/>
              <w:keepLines w:val="false"/>
              <w:widowControl/>
              <w:suppressLineNumbers w:val="false"/>
              <w:jc w:val="center"/>
              <w:textAlignment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EF49678">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5E334B1">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73BC9FB">
            <w:pPr>
              <w:keepNext w:val="false"/>
              <w:keepLines w:val="false"/>
              <w:widowControl/>
              <w:suppressLineNumbers w:val="false"/>
              <w:jc w:val="center"/>
              <w:textAlignment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4810C8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D3FEA5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rPr>
              <w:t/>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rPr>
              <w:t/>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rPr>
              <w:t/>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rPr>
              <w:t/>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FDFBC37">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6C00BDD">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5F79558">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7C6BAF2">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6CE8889">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88A824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6CCBE1C">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6B8F576">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2A6240A">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false"/>
                <w:iCs w:val="false"/>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false"/>
                <w:iCs w:val="false"/>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false"/>
              <w:keepLines w:val="false"/>
              <w:widowControl/>
              <w:suppressLineNumbers w:val="false"/>
              <w:jc w:val="center"/>
              <w:textAlignment w:val="center"/>
              <w:rPr>
                <w:rFonts w:hint="eastAsia" w:ascii="宋体" w:hAnsi="宋体" w:eastAsia="宋体" w:cs="宋体"/>
                <w:i w:val="false"/>
                <w:iCs w:val="false"/>
                <w:color w:val="000000"/>
                <w:sz w:val="20"/>
                <w:szCs w:val="20"/>
                <w:highlight w:val="none"/>
                <w:u w:val="none"/>
              </w:rPr>
            </w:pPr>
            <w:r>
              <w:rPr>
                <w:rFonts w:hint="eastAsia" w:ascii="宋体" w:hAnsi="宋体" w:eastAsia="宋体" w:cs="宋体"/>
                <w:i w:val="false"/>
                <w:iCs w:val="false"/>
                <w:color w:val="000000"/>
                <w:kern w:val="0"/>
                <w:sz w:val="20"/>
                <w:szCs w:val="20"/>
                <w:highlight w:val="none"/>
                <w:u w:val="none"/>
                <w:lang w:val="en-US" w:eastAsia="zh-CN" w:bidi="ar"/>
              </w:rPr>
              <w:t/>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2,098.41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605.70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605.70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56.25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56.25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28.08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28.08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1,364.51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1,364.51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43.87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43.87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false"/>
                <w:iCs w:val="false"/>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2,098.41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false"/>
                <w:iCs w:val="false"/>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false"/>
                <w:iCs w:val="false"/>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false"/>
                <w:iCs w:val="false"/>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false"/>
                <w:iCs w:val="false"/>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false"/>
              <w:keepLines w:val="false"/>
              <w:widowControl/>
              <w:suppressLineNumbers w:val="false"/>
              <w:jc w:val="center"/>
              <w:textAlignment w:val="center"/>
              <w:rPr>
                <w:rFonts w:hint="eastAsia" w:ascii="方正仿宋_GB2312" w:hAnsi="方正仿宋_GB2312" w:eastAsia="方正仿宋_GB2312" w:cs="方正仿宋_GB2312"/>
                <w:b/>
                <w:bCs/>
                <w:i w:val="false"/>
                <w:iCs w:val="false"/>
                <w:color w:val="000000"/>
                <w:sz w:val="20"/>
                <w:szCs w:val="20"/>
                <w:highlight w:val="none"/>
                <w:u w:val="none"/>
              </w:rPr>
            </w:pPr>
            <w:r>
              <w:rPr>
                <w:rFonts w:hint="eastAsia" w:ascii="方正仿宋_GB2312" w:hAnsi="方正仿宋_GB2312" w:eastAsia="方正仿宋_GB2312" w:cs="方正仿宋_GB2312"/>
                <w:b/>
                <w:bCs/>
                <w:i w:val="false"/>
                <w:iCs w:val="false"/>
                <w:color w:val="000000"/>
                <w:kern w:val="0"/>
                <w:sz w:val="20"/>
                <w:szCs w:val="20"/>
                <w:highlight w:val="none"/>
                <w:u w:val="none"/>
                <w:lang w:val="en-US" w:eastAsia="zh-CN" w:bidi="ar"/>
              </w:rPr>
              <w:t/>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2,255.93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w:t>2,098.41</w:t>
            </w:r>
          </w:p>
          <w:p w14:paraId="46956FDA">
            <w:pPr>
              <w:jc w:val="right"/>
              <w:rPr>
                <w:rFonts w:hint="default" w:ascii="Times New Roman" w:hAnsi="Times New Roman" w:eastAsia="宋体" w:cs="Times New Roman"/>
                <w:i w:val="false"/>
                <w:iCs w:val="false"/>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157.52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
            </w: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false"/>
              <w:keepLines w:val="false"/>
              <w:widowControl/>
              <w:suppressLineNumbers w:val="false"/>
              <w:jc w:val="left"/>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注：本表反映部门本年度一般公共预算财政拨款、政府性基金预算财政拨款和国有资本经营预算财政拨款的总收支和年末结转结余情况。</w:t>
            </w:r>
          </w:p>
        </w:tc>
      </w:tr>
    </w:tbl>
    <w:p w14:paraId="25F95412">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3"/>
        <w:gridCol w:w="1352"/>
        <w:gridCol w:w="743"/>
        <w:gridCol w:w="1374"/>
        <w:gridCol w:w="1439"/>
        <w:gridCol w:w="679"/>
        <w:gridCol w:w="2117"/>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false"/>
              <w:keepLines w:val="false"/>
              <w:widowControl/>
              <w:suppressLineNumbers w:val="false"/>
              <w:jc w:val="center"/>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公开</w:t>
            </w: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05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false"/>
              <w:keepLines w:val="false"/>
              <w:widowControl/>
              <w:suppressLineNumbers w:val="false"/>
              <w:jc w:val="lef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部门（单位）：元氏县殷村镇人民政府(本级)</w:t>
            </w:r>
          </w:p>
        </w:tc>
        <w:tc>
          <w:tcPr>
            <w:tcW w:w="1541" w:type="pct"/>
            <w:gridSpan w:val="2"/>
            <w:tcBorders>
              <w:top w:val="nil"/>
              <w:left w:val="nil"/>
              <w:bottom w:val="single" w:color="000000" w:themeColor="text1" w:sz="8" w:space="0"/>
              <w:right w:val="nil"/>
            </w:tcBorders>
            <w:noWrap/>
            <w:vAlign w:val="bottom"/>
          </w:tcPr>
          <w:p w14:paraId="6F8D6BB1">
            <w:pPr>
              <w:keepNext w:val="false"/>
              <w:keepLines w:val="false"/>
              <w:widowControl/>
              <w:suppressLineNumbers w:val="false"/>
              <w:jc w:val="center"/>
              <w:textAlignment w:val="bottom"/>
              <w:rPr>
                <w:rFonts w:hint="default" w:asciiTheme="minorEastAsia" w:hAnsiTheme="minorEastAsia" w:eastAsiaTheme="minorEastAsia" w:cstheme="minorEastAsia"/>
                <w:i w:val="false"/>
                <w:iCs w:val="false"/>
                <w:color w:val="000000"/>
                <w:kern w:val="0"/>
                <w:sz w:val="20"/>
                <w:szCs w:val="20"/>
                <w:highlight w:val="none"/>
                <w:u w:val="none"/>
                <w:lang w:val="en-US" w:eastAsia="zh-CN" w:bidi="ar"/>
              </w:rPr>
            </w:pPr>
            <w:r>
              <w:rPr>
                <w:rFonts w:hint="default" w:ascii="Times New Roman" w:hAnsi="Times New Roman" w:cs="Times New Roman"/>
                <w:i w:val="false"/>
                <w:iCs w:val="false"/>
                <w:color w:val="000000"/>
                <w:kern w:val="0"/>
                <w:sz w:val="20"/>
                <w:szCs w:val="20"/>
                <w:highlight w:val="none"/>
                <w:u w:val="none"/>
                <w:lang w:val="en-US" w:eastAsia="zh-CN" w:bidi="ar"/>
              </w:rPr>
              <w:t/>
              <w:t>202</w:t>
            </w:r>
            <w:r>
              <w:rPr>
                <w:rFonts w:hint="eastAsia" w:ascii="Times New Roman" w:hAnsi="Times New Roman" w:cs="Times New Roman"/>
                <w:i w:val="false"/>
                <w:iCs w:val="false"/>
                <w:color w:val="000000"/>
                <w:kern w:val="0"/>
                <w:sz w:val="20"/>
                <w:szCs w:val="20"/>
                <w:highlight w:val="none"/>
                <w:u w:val="none"/>
                <w:lang w:val="en-US" w:eastAsia="zh-CN" w:bidi="ar"/>
              </w:rPr>
              <w:t/>
              <w:t>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1590" w:type="pct"/>
            <w:gridSpan w:val="2"/>
            <w:tcBorders>
              <w:top w:val="nil"/>
              <w:left w:val="nil"/>
              <w:bottom w:val="single" w:color="000000" w:themeColor="text1" w:sz="8" w:space="0"/>
              <w:right w:val="nil"/>
            </w:tcBorders>
            <w:noWrap/>
            <w:vAlign w:val="bottom"/>
          </w:tcPr>
          <w:p w14:paraId="63AE8029">
            <w:pPr>
              <w:keepNext w:val="false"/>
              <w:keepLines w:val="false"/>
              <w:widowControl/>
              <w:suppressLineNumbers w:val="false"/>
              <w:jc w:val="right"/>
              <w:textAlignment w:val="bottom"/>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false"/>
            <w:vAlign w:val="center"/>
          </w:tcPr>
          <w:p w14:paraId="767FD3F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false"/>
            <w:vAlign w:val="center"/>
          </w:tcPr>
          <w:p w14:paraId="1E35482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false"/>
            <w:vAlign w:val="center"/>
          </w:tcPr>
          <w:p w14:paraId="303F019C">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43EB060">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B17A41F">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755C0C7">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false"/>
            <w:vAlign w:val="center"/>
          </w:tcPr>
          <w:p w14:paraId="35175C3F">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false"/>
            <w:vAlign w:val="center"/>
          </w:tcPr>
          <w:p w14:paraId="07BBA312">
            <w:pPr>
              <w:jc w:val="center"/>
              <w:rPr>
                <w:rFonts w:hint="eastAsia" w:ascii="宋体" w:hAnsi="宋体" w:eastAsia="宋体" w:cs="宋体"/>
                <w:i w:val="false"/>
                <w:iCs w:val="false"/>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4227AC3">
            <w:pPr>
              <w:jc w:val="center"/>
              <w:rPr>
                <w:rFonts w:hint="eastAsia" w:ascii="宋体" w:hAnsi="宋体" w:eastAsia="宋体" w:cs="宋体"/>
                <w:i w:val="false"/>
                <w:iCs w:val="false"/>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9084284">
            <w:pPr>
              <w:jc w:val="center"/>
              <w:rPr>
                <w:rFonts w:hint="eastAsia" w:ascii="宋体" w:hAnsi="宋体" w:eastAsia="宋体" w:cs="宋体"/>
                <w:i w:val="false"/>
                <w:iCs w:val="false"/>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9BF0FED">
            <w:pPr>
              <w:jc w:val="center"/>
              <w:rPr>
                <w:rFonts w:hint="eastAsia" w:ascii="宋体" w:hAnsi="宋体" w:eastAsia="宋体" w:cs="宋体"/>
                <w:i w:val="false"/>
                <w:iCs w:val="false"/>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false"/>
            <w:vAlign w:val="center"/>
          </w:tcPr>
          <w:p w14:paraId="517381C9">
            <w:pPr>
              <w:jc w:val="center"/>
              <w:rPr>
                <w:rFonts w:hint="eastAsia" w:ascii="宋体" w:hAnsi="宋体" w:eastAsia="宋体" w:cs="宋体"/>
                <w:i w:val="false"/>
                <w:iCs w:val="false"/>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false"/>
            <w:vAlign w:val="center"/>
          </w:tcPr>
          <w:p w14:paraId="2E32E979">
            <w:pPr>
              <w:jc w:val="center"/>
              <w:rPr>
                <w:rFonts w:hint="eastAsia" w:ascii="宋体" w:hAnsi="宋体" w:eastAsia="宋体" w:cs="宋体"/>
                <w:i w:val="false"/>
                <w:iCs w:val="false"/>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337A1D9">
            <w:pPr>
              <w:jc w:val="center"/>
              <w:rPr>
                <w:rFonts w:hint="eastAsia" w:ascii="宋体" w:hAnsi="宋体" w:eastAsia="宋体" w:cs="宋体"/>
                <w:i w:val="false"/>
                <w:iCs w:val="false"/>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3715D87">
            <w:pPr>
              <w:jc w:val="center"/>
              <w:rPr>
                <w:rFonts w:hint="eastAsia" w:ascii="宋体" w:hAnsi="宋体" w:eastAsia="宋体" w:cs="宋体"/>
                <w:i w:val="false"/>
                <w:iCs w:val="false"/>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1512C71">
            <w:pPr>
              <w:jc w:val="center"/>
              <w:rPr>
                <w:rFonts w:hint="eastAsia" w:ascii="宋体" w:hAnsi="宋体" w:eastAsia="宋体" w:cs="宋体"/>
                <w:i w:val="false"/>
                <w:iCs w:val="false"/>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false"/>
            <w:vAlign w:val="center"/>
          </w:tcPr>
          <w:p w14:paraId="0C43699C">
            <w:pPr>
              <w:jc w:val="center"/>
              <w:rPr>
                <w:rFonts w:hint="eastAsia" w:ascii="宋体" w:hAnsi="宋体" w:eastAsia="宋体" w:cs="宋体"/>
                <w:i w:val="false"/>
                <w:iCs w:val="false"/>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false"/>
            <w:vAlign w:val="center"/>
          </w:tcPr>
          <w:p w14:paraId="3682F967">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eastAsia="zh-CN"/>
              </w:rPr>
            </w:pPr>
            <w:r>
              <w:rPr>
                <w:rFonts w:hint="default" w:ascii="Times New Roman" w:hAnsi="Times New Roman" w:eastAsia="宋体" w:cs="Times New Roman"/>
                <w:i w:val="false"/>
                <w:iCs w:val="false"/>
                <w:color w:val="000000"/>
                <w:sz w:val="20"/>
                <w:szCs w:val="20"/>
                <w:highlight w:val="none"/>
                <w:u w:val="none"/>
                <w:lang w:val="en-US" w:eastAsia="zh-CN"/>
              </w:rPr>
              <w:t/>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eastAsia="zh-CN"/>
              </w:rPr>
            </w:pPr>
            <w:r>
              <w:rPr>
                <w:rFonts w:hint="default" w:ascii="Times New Roman" w:hAnsi="Times New Roman" w:eastAsia="宋体" w:cs="Times New Roman"/>
                <w:i w:val="false"/>
                <w:iCs w:val="false"/>
                <w:color w:val="000000"/>
                <w:sz w:val="20"/>
                <w:szCs w:val="20"/>
                <w:highlight w:val="none"/>
                <w:u w:val="none"/>
                <w:lang w:val="en-US" w:eastAsia="zh-CN"/>
              </w:rPr>
              <w:t/>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false"/>
              <w:keepLines w:val="false"/>
              <w:widowControl/>
              <w:suppressLineNumbers w:val="false"/>
              <w:jc w:val="center"/>
              <w:textAlignment w:val="center"/>
              <w:rPr>
                <w:rFonts w:hint="default" w:ascii="Times New Roman" w:hAnsi="Times New Roman" w:eastAsia="宋体" w:cs="Times New Roman"/>
                <w:i w:val="false"/>
                <w:iCs w:val="false"/>
                <w:color w:val="000000"/>
                <w:sz w:val="20"/>
                <w:szCs w:val="20"/>
                <w:highlight w:val="none"/>
                <w:u w:val="none"/>
                <w:lang w:val="en-US" w:eastAsia="zh-CN"/>
              </w:rPr>
            </w:pPr>
            <w:r>
              <w:rPr>
                <w:rFonts w:hint="default" w:ascii="Times New Roman" w:hAnsi="Times New Roman" w:eastAsia="宋体" w:cs="Times New Roman"/>
                <w:i w:val="false"/>
                <w:iCs w:val="false"/>
                <w:color w:val="000000"/>
                <w:sz w:val="20"/>
                <w:szCs w:val="20"/>
                <w:highlight w:val="none"/>
                <w:u w:val="none"/>
                <w:lang w:val="en-US" w:eastAsia="zh-CN"/>
              </w:rPr>
              <w:t/>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false"/>
            <w:vAlign w:val="center"/>
          </w:tcPr>
          <w:p w14:paraId="22A50BE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2,098.41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591.11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cs="Times New Roman"/>
                <w:sz w:val="20"/>
                <w:szCs w:val="20"/>
                <w:highlight w:val="none"/>
              </w:rPr>
              <w:t/>
              <w:t>1,507.30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t>605.70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t>473.71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t>131.99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605.70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473.71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131.99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473.71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473.71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131.99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131.99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56.25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45.45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45.45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45.45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44.03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44.03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19.08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9.01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9.01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1,364.51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1,364.51</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1,080.76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2130126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农村社会事业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30.00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30.00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1,050.76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1,050.76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283.75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43.87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lang w:val="en-US" w:eastAsia="zh-CN"/>
              </w:rPr>
              <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false"/>
              <w:keepLines w:val="false"/>
              <w:widowControl/>
              <w:suppressLineNumbers w:val="false"/>
              <w:jc w:val="left"/>
              <w:textAlignment w:val="cente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注：本表反映部门本年度一般公共预算财政拨款支出情况。</w:t>
            </w:r>
          </w:p>
        </w:tc>
      </w:tr>
    </w:tbl>
    <w:p w14:paraId="7E3D2886">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false"/>
              <w:keepLines w:val="false"/>
              <w:widowControl/>
              <w:suppressLineNumbers w:val="false"/>
              <w:snapToGrid w:val="false"/>
              <w:jc w:val="center"/>
              <w:textAlignment w:val="bottom"/>
              <w:rPr>
                <w:rFonts w:ascii="方正仿宋_GB2312" w:hAnsi="方正仿宋_GB2312" w:eastAsia="方正仿宋_GB2312" w:cs="方正仿宋_GB2312"/>
                <w:i w:val="false"/>
                <w:iCs w:val="false"/>
                <w:color w:val="000000"/>
                <w:sz w:val="32"/>
                <w:szCs w:val="32"/>
                <w:u w:val="none"/>
              </w:rPr>
            </w:pPr>
            <w:r>
              <w:rPr>
                <w:rFonts w:hint="eastAsia" w:ascii="方正仿宋_GB2312" w:hAnsi="方正仿宋_GB2312" w:eastAsia="方正仿宋_GB2312" w:cs="方正仿宋_GB2312"/>
                <w:i w:val="false"/>
                <w:iCs w:val="false"/>
                <w:color w:val="000000"/>
                <w:kern w:val="0"/>
                <w:sz w:val="32"/>
                <w:szCs w:val="32"/>
                <w:u w:val="none"/>
                <w:lang w:val="en-US" w:eastAsia="zh-CN" w:bidi="ar"/>
              </w:rPr>
              <w:t/>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false"/>
              <w:keepLines w:val="false"/>
              <w:widowControl/>
              <w:suppressLineNumbers w:val="false"/>
              <w:snapToGrid w:val="false"/>
              <w:jc w:val="right"/>
              <w:textAlignment w:val="bottom"/>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公开</w:t>
            </w:r>
            <w:r>
              <w:rPr>
                <w:rFonts w:hint="default" w:ascii="Times New Roman" w:hAnsi="Times New Roman" w:eastAsia="方正仿宋_GB2312" w:cs="Times New Roman"/>
                <w:i w:val="false"/>
                <w:iCs w:val="false"/>
                <w:color w:val="000000"/>
                <w:kern w:val="0"/>
                <w:sz w:val="18"/>
                <w:szCs w:val="18"/>
                <w:u w:val="none"/>
                <w:lang w:val="en-US" w:eastAsia="zh-CN" w:bidi="ar"/>
              </w:rPr>
              <w:t/>
              <w:t>06</w:t>
            </w:r>
            <w:r>
              <w:rPr>
                <w:rStyle w:val="25"/>
                <w:lang w:val="en-US" w:eastAsia="zh-CN" w:bidi="ar"/>
              </w:rPr>
              <w:t/>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false"/>
              <w:keepLines w:val="false"/>
              <w:widowControl/>
              <w:suppressLineNumbers w:val="false"/>
              <w:snapToGrid w:val="false"/>
              <w:jc w:val="both"/>
              <w:textAlignment w:val="bottom"/>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部门（单位）：元氏县殷村镇人民政府(本级)</w:t>
            </w: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Fonts w:hint="eastAsia" w:ascii="宋体" w:hAnsi="宋体" w:eastAsia="宋体" w:cs="宋体"/>
                <w:i w:val="false"/>
                <w:iCs w:val="false"/>
                <w:color w:val="000000"/>
                <w:kern w:val="0"/>
                <w:sz w:val="18"/>
                <w:szCs w:val="18"/>
                <w:u w:val="none"/>
                <w:lang w:val="en-US" w:eastAsia="zh-CN" w:bidi="ar"/>
              </w:rPr>
              <w:t xml:space="preserve"/>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false"/>
              <w:keepLines w:val="false"/>
              <w:widowControl/>
              <w:suppressLineNumbers w:val="false"/>
              <w:snapToGrid w:val="false"/>
              <w:jc w:val="center"/>
              <w:textAlignment w:val="bottom"/>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2025</w:t>
            </w:r>
            <w:r>
              <w:rPr>
                <w:rStyle w:val="25"/>
                <w:lang w:val="en-US" w:eastAsia="zh-CN" w:bidi="ar"/>
              </w:rPr>
              <w:t/>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false"/>
              <w:keepLines w:val="false"/>
              <w:widowControl/>
              <w:suppressLineNumbers w:val="false"/>
              <w:snapToGrid w:val="false"/>
              <w:jc w:val="right"/>
              <w:textAlignment w:val="bottom"/>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519.39</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55.99</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Style w:val="25"/>
                <w:lang w:val="en-US" w:eastAsia="zh-CN" w:bidi="ar"/>
              </w:rPr>
              <w:t/>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205.66</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3.66</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Style w:val="25"/>
                <w:lang w:val="en-US" w:eastAsia="zh-CN" w:bidi="ar"/>
              </w:rPr>
              <w:t/>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110.83</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Style w:val="25"/>
                <w:lang w:val="en-US" w:eastAsia="zh-CN" w:bidi="ar"/>
              </w:rPr>
              <w:t/>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67.96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Style w:val="25"/>
                <w:lang w:val="en-US" w:eastAsia="zh-CN" w:bidi="ar"/>
              </w:rPr>
              <w:t/>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Style w:val="25"/>
                <w:lang w:val="en-US" w:eastAsia="zh-CN" w:bidi="ar"/>
              </w:rPr>
              <w:t/>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15.90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44.03</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17.09</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1.42</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19.08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9.01</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1.65</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43.87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xml:space="preserve"/>
              <w:t xml:space="preserve">  </w:t>
            </w:r>
            <w:r>
              <w:rPr>
                <w:rStyle w:val="25"/>
                <w:lang w:val="en-US" w:eastAsia="zh-CN" w:bidi="ar"/>
              </w:rPr>
              <w:t/>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15.72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11.92</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3.80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1.89</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2.72</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0.89</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29.60</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
            </w: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false"/>
              <w:keepLines w:val="false"/>
              <w:widowControl/>
              <w:suppressLineNumbers w:val="false"/>
              <w:snapToGrid w:val="false"/>
              <w:jc w:val="center"/>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0.15</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false"/>
              <w:jc w:val="center"/>
              <w:rPr>
                <w:rFonts w:hint="default" w:ascii="Times New Roman" w:hAnsi="Times New Roman" w:eastAsia="宋体" w:cs="Times New Roman"/>
                <w:i w:val="false"/>
                <w:iCs w:val="false"/>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false"/>
              <w:jc w:val="left"/>
              <w:rPr>
                <w:rFonts w:hint="eastAsia" w:ascii="方正仿宋_GB2312" w:hAnsi="方正仿宋_GB2312" w:eastAsia="方正仿宋_GB2312" w:cs="方正仿宋_GB2312"/>
                <w:i w:val="false"/>
                <w:iCs w:val="false"/>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false"/>
              <w:jc w:val="right"/>
              <w:rPr>
                <w:rFonts w:hint="default" w:ascii="Times New Roman" w:hAnsi="Times New Roman" w:eastAsia="宋体" w:cs="Times New Roman"/>
                <w:i w:val="false"/>
                <w:iCs w:val="false"/>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535.11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false"/>
              <w:keepLines w:val="false"/>
              <w:widowControl/>
              <w:suppressLineNumbers w:val="false"/>
              <w:snapToGrid w:val="false"/>
              <w:jc w:val="center"/>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false"/>
              <w:keepLines w:val="false"/>
              <w:widowControl/>
              <w:suppressLineNumbers w:val="false"/>
              <w:snapToGrid w:val="false"/>
              <w:jc w:val="right"/>
              <w:textAlignment w:val="center"/>
              <w:rPr>
                <w:rFonts w:hint="default" w:ascii="Times New Roman" w:hAnsi="Times New Roman" w:eastAsia="宋体" w:cs="Times New Roman"/>
                <w:i w:val="false"/>
                <w:iCs w:val="false"/>
                <w:color w:val="000000"/>
                <w:sz w:val="18"/>
                <w:szCs w:val="18"/>
                <w:u w:val="none"/>
              </w:rPr>
            </w:pPr>
            <w:r>
              <w:rPr>
                <w:rFonts w:hint="default" w:ascii="Times New Roman" w:hAnsi="Times New Roman" w:eastAsia="宋体" w:cs="Times New Roman"/>
                <w:i w:val="false"/>
                <w:iCs w:val="false"/>
                <w:color w:val="000000"/>
                <w:kern w:val="0"/>
                <w:sz w:val="18"/>
                <w:szCs w:val="18"/>
                <w:u w:val="none"/>
                <w:lang w:val="en-US" w:eastAsia="zh-CN" w:bidi="ar"/>
              </w:rPr>
              <w:t/>
              <w:t>55.99</w:t>
            </w:r>
            <w:bookmarkStart w:name="_GoBack" w:id="0"/>
            <w:bookmarkEnd w:id="0"/>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false"/>
              <w:keepLines w:val="false"/>
              <w:widowControl/>
              <w:suppressLineNumbers w:val="false"/>
              <w:snapToGrid w:val="false"/>
              <w:jc w:val="left"/>
              <w:textAlignment w:val="center"/>
              <w:rPr>
                <w:rFonts w:hint="eastAsia" w:ascii="方正仿宋_GB2312" w:hAnsi="方正仿宋_GB2312" w:eastAsia="方正仿宋_GB2312" w:cs="方正仿宋_GB2312"/>
                <w:i w:val="false"/>
                <w:iCs w:val="false"/>
                <w:color w:val="000000"/>
                <w:sz w:val="18"/>
                <w:szCs w:val="18"/>
                <w:u w:val="none"/>
              </w:rPr>
            </w:pPr>
            <w:r>
              <w:rPr>
                <w:rFonts w:hint="eastAsia" w:ascii="方正仿宋_GB2312" w:hAnsi="方正仿宋_GB2312" w:eastAsia="方正仿宋_GB2312" w:cs="方正仿宋_GB2312"/>
                <w:i w:val="false"/>
                <w:iCs w:val="false"/>
                <w:color w:val="000000"/>
                <w:kern w:val="0"/>
                <w:sz w:val="18"/>
                <w:szCs w:val="18"/>
                <w:u w:val="none"/>
                <w:lang w:val="en-US" w:eastAsia="zh-CN" w:bidi="ar"/>
              </w:rPr>
              <w:t/>
              <w:t>注：本表反映部门本年度一般公共预算财政拨款基本支出明细情况。</w:t>
            </w:r>
          </w:p>
        </w:tc>
      </w:tr>
    </w:tbl>
    <w:p w14:paraId="6CC85FDC">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false"/>
              <w:keepLines w:val="false"/>
              <w:widowControl/>
              <w:suppressLineNumbers w:val="false"/>
              <w:jc w:val="center"/>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公开</w:t>
            </w:r>
            <w:r>
              <w:rPr>
                <w:rFonts w:hint="default" w:ascii="Times New Roman" w:hAnsi="Times New Roman" w:eastAsia="宋体" w:cs="Times New Roman"/>
                <w:i w:val="false"/>
                <w:iCs w:val="false"/>
                <w:color w:val="000000"/>
                <w:kern w:val="0"/>
                <w:sz w:val="20"/>
                <w:szCs w:val="20"/>
                <w:highlight w:val="none"/>
                <w:u w:val="none"/>
                <w:lang w:val="en-US" w:eastAsia="zh-CN" w:bidi="ar"/>
              </w:rPr>
              <w:t/>
              <w:t>07</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false"/>
              <w:keepLines w:val="false"/>
              <w:widowControl/>
              <w:suppressLineNumbers w:val="false"/>
              <w:jc w:val="lef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部门（单位）：元氏县殷村镇人民政府(本级) </w:t>
            </w:r>
            <w:r>
              <w:rPr>
                <w:rFonts w:hint="eastAsia" w:ascii="宋体" w:hAnsi="宋体" w:eastAsia="宋体" w:cs="宋体"/>
                <w:i w:val="false"/>
                <w:iCs w:val="false"/>
                <w:color w:val="000000"/>
                <w:kern w:val="0"/>
                <w:sz w:val="20"/>
                <w:szCs w:val="20"/>
                <w:highlight w:val="none"/>
                <w:u w:val="none"/>
                <w:lang w:val="en-US" w:eastAsia="zh-CN" w:bidi="ar"/>
              </w:rPr>
              <w:t xml:space="preserve"/>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false"/>
              <w:keepLines w:val="false"/>
              <w:widowControl/>
              <w:suppressLineNumbers w:val="false"/>
              <w:jc w:val="center"/>
              <w:textAlignment w:val="bottom"/>
              <w:rPr>
                <w:rFonts w:hint="default" w:ascii="宋体" w:hAnsi="宋体" w:eastAsia="宋体" w:cs="宋体"/>
                <w:i w:val="false"/>
                <w:iCs w:val="false"/>
                <w:color w:val="000000"/>
                <w:kern w:val="0"/>
                <w:sz w:val="20"/>
                <w:szCs w:val="20"/>
                <w:highlight w:val="none"/>
                <w:u w:val="none"/>
                <w:lang w:val="en-US" w:eastAsia="zh-CN" w:bidi="ar"/>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202</w:t>
            </w:r>
            <w:r>
              <w:rPr>
                <w:rFonts w:hint="eastAsia" w:ascii="Times New Roman" w:hAnsi="Times New Roman" w:eastAsia="宋体" w:cs="Times New Roman"/>
                <w:i w:val="false"/>
                <w:iCs w:val="false"/>
                <w:color w:val="000000"/>
                <w:kern w:val="0"/>
                <w:sz w:val="20"/>
                <w:szCs w:val="20"/>
                <w:highlight w:val="none"/>
                <w:u w:val="none"/>
                <w:lang w:val="en-US" w:eastAsia="zh-CN" w:bidi="ar"/>
              </w:rPr>
              <w:t/>
              <w:t>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1854" w:type="pct"/>
            <w:gridSpan w:val="3"/>
            <w:tcBorders>
              <w:top w:val="nil"/>
              <w:left w:val="nil"/>
              <w:bottom w:val="single" w:color="000000" w:themeColor="text1" w:sz="8" w:space="0"/>
              <w:right w:val="nil"/>
            </w:tcBorders>
            <w:noWrap/>
            <w:vAlign w:val="bottom"/>
          </w:tcPr>
          <w:p w14:paraId="14CFDBAD">
            <w:pPr>
              <w:keepNext w:val="false"/>
              <w:keepLines w:val="false"/>
              <w:widowControl/>
              <w:suppressLineNumbers w:val="false"/>
              <w:jc w:val="right"/>
              <w:textAlignment w:val="bottom"/>
              <w:rPr>
                <w:rFonts w:hint="default" w:ascii="宋体" w:hAnsi="宋体" w:eastAsia="宋体" w:cs="宋体"/>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EE461A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F4F1DC5">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69DCD5F">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4F245A8">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0EC97E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751344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89BDC2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0124FB6">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AE1EDB7">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07614AA">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7FE8751">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2A42465">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8E01B2A">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合计</w:t>
            </w:r>
          </w:p>
          <w:p w14:paraId="259B30B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结转</w:t>
            </w:r>
          </w:p>
          <w:p w14:paraId="219C4548">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FD2D9B0">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2D0721D">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F7F6E63">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3B8F48D">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2C23BDF">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058698C">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413613D">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3E14625">
            <w:pPr>
              <w:jc w:val="center"/>
              <w:rPr>
                <w:rFonts w:hint="eastAsia" w:ascii="方正仿宋_GB2312" w:hAnsi="方正仿宋_GB2312" w:eastAsia="方正仿宋_GB2312" w:cs="方正仿宋_GB2312"/>
                <w:i w:val="false"/>
                <w:iCs w:val="false"/>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3AC66D0">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4014D4F">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C550A15">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61ECE8C">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398154F">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209B637">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9BACD2C">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085DE76">
            <w:pPr>
              <w:jc w:val="center"/>
              <w:rPr>
                <w:rFonts w:hint="eastAsia" w:ascii="方正仿宋_GB2312" w:hAnsi="方正仿宋_GB2312" w:eastAsia="方正仿宋_GB2312" w:cs="方正仿宋_GB2312"/>
                <w:i w:val="false"/>
                <w:iCs w:val="false"/>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A176FE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20"/>
                <w:szCs w:val="20"/>
                <w:highlight w:val="none"/>
                <w:u w:val="none"/>
                <w:lang w:val="en-US" w:eastAsia="zh-CN"/>
              </w:rPr>
            </w:pPr>
            <w:r>
              <w:rPr>
                <w:rFonts w:hint="default" w:ascii="Times New Roman" w:hAnsi="Times New Roman" w:eastAsia="方正仿宋_GB2312" w:cs="Times New Roman"/>
                <w:i w:val="false"/>
                <w:iCs w:val="false"/>
                <w:color w:val="000000"/>
                <w:sz w:val="20"/>
                <w:szCs w:val="20"/>
                <w:highlight w:val="none"/>
                <w:u w:val="none"/>
                <w:lang w:val="en-US" w:eastAsia="zh-CN"/>
              </w:rPr>
              <w:t/>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3B6FC00">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157.52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157.52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157.52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t>157.52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t>157.52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t>157.52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default" w:ascii="Times New Roman" w:hAnsi="Times New Roman" w:eastAsia="方正仿宋_GB2312" w:cs="Times New Roman"/>
                <w:i w:val="false"/>
                <w:iCs w:val="false"/>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157.52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w: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注：本表反映部门本年度政府性基金预算财政拨款收入、支出及结转和结余情况。</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br w:type="page"/>
            </w:r>
          </w:p>
        </w:tc>
      </w:tr>
    </w:tbl>
    <w:p w14:paraId="390B949B">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5"/>
        <w:gridCol w:w="726"/>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0"/>
            <w:tcBorders>
              <w:top w:val="nil"/>
              <w:left w:val="nil"/>
              <w:bottom w:val="nil"/>
              <w:right w:val="nil"/>
            </w:tcBorders>
            <w:noWrap/>
            <w:vAlign w:val="bottom"/>
          </w:tcPr>
          <w:p w14:paraId="6120D892">
            <w:pPr>
              <w:keepNext w:val="false"/>
              <w:keepLines w:val="false"/>
              <w:widowControl/>
              <w:suppressLineNumbers w:val="false"/>
              <w:jc w:val="center"/>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70B9454C">
            <w:pPr>
              <w:keepNext w:val="false"/>
              <w:keepLines w:val="false"/>
              <w:widowControl/>
              <w:suppressLineNumbers w:val="false"/>
              <w:jc w:val="right"/>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公开</w:t>
            </w:r>
            <w:r>
              <w:rPr>
                <w:rFonts w:hint="default" w:ascii="Times New Roman" w:hAnsi="Times New Roman" w:eastAsia="方正仿宋_GB2312" w:cs="Times New Roman"/>
                <w:i w:val="false"/>
                <w:iCs w:val="false"/>
                <w:color w:val="000000"/>
                <w:kern w:val="0"/>
                <w:sz w:val="20"/>
                <w:szCs w:val="20"/>
                <w:highlight w:val="none"/>
                <w:u w:val="none"/>
                <w:lang w:val="en-US" w:eastAsia="zh-CN" w:bidi="ar"/>
              </w:rPr>
              <w:t/>
              <w:t>08</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3"/>
            <w:tcBorders>
              <w:top w:val="nil"/>
              <w:left w:val="nil"/>
              <w:bottom w:val="single" w:color="000000" w:themeColor="text1" w:sz="8" w:space="0"/>
              <w:right w:val="nil"/>
            </w:tcBorders>
            <w:noWrap/>
            <w:vAlign w:val="bottom"/>
          </w:tcPr>
          <w:p w14:paraId="26CB50F7">
            <w:pPr>
              <w:keepNext w:val="false"/>
              <w:keepLines w:val="false"/>
              <w:widowControl/>
              <w:suppressLineNumbers w:val="false"/>
              <w:jc w:val="both"/>
              <w:textAlignment w:val="bottom"/>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部门（单位）：元氏县殷村镇人民政府(本级)</w:t>
            </w:r>
          </w:p>
        </w:tc>
        <w:tc>
          <w:tcPr>
            <w:tcW w:w="1421" w:type="pct"/>
            <w:gridSpan w:val="4"/>
            <w:tcBorders>
              <w:top w:val="nil"/>
              <w:left w:val="nil"/>
              <w:bottom w:val="single" w:color="000000" w:themeColor="text1" w:sz="8" w:space="0"/>
              <w:right w:val="nil"/>
            </w:tcBorders>
            <w:noWrap/>
            <w:vAlign w:val="bottom"/>
          </w:tcPr>
          <w:p w14:paraId="616B6621">
            <w:pPr>
              <w:keepNext w:val="false"/>
              <w:keepLines w:val="false"/>
              <w:widowControl/>
              <w:suppressLineNumbers w:val="false"/>
              <w:jc w:val="center"/>
              <w:textAlignment w:val="bottom"/>
              <w:rPr>
                <w:rFonts w:hint="default" w:ascii="宋体" w:hAnsi="宋体" w:eastAsia="宋体" w:cs="宋体"/>
                <w:i w:val="false"/>
                <w:iCs w:val="false"/>
                <w:color w:val="000000"/>
                <w:kern w:val="0"/>
                <w:sz w:val="20"/>
                <w:szCs w:val="20"/>
                <w:highlight w:val="none"/>
                <w:u w:val="none"/>
                <w:lang w:val="en-US" w:eastAsia="zh-CN" w:bidi="ar"/>
              </w:rPr>
            </w:pPr>
            <w:r>
              <w:rPr>
                <w:rFonts w:hint="default" w:ascii="Times New Roman" w:hAnsi="Times New Roman" w:eastAsia="宋体" w:cs="Times New Roman"/>
                <w:i w:val="false"/>
                <w:iCs w:val="false"/>
                <w:color w:val="000000"/>
                <w:kern w:val="0"/>
                <w:sz w:val="20"/>
                <w:szCs w:val="20"/>
                <w:highlight w:val="none"/>
                <w:u w:val="none"/>
                <w:lang w:val="en-US" w:eastAsia="zh-CN" w:bidi="ar"/>
              </w:rPr>
              <w:t/>
              <w:t>202</w:t>
            </w:r>
            <w:r>
              <w:rPr>
                <w:rFonts w:hint="eastAsia" w:ascii="Times New Roman" w:hAnsi="Times New Roman" w:eastAsia="宋体" w:cs="Times New Roman"/>
                <w:i w:val="false"/>
                <w:iCs w:val="false"/>
                <w:color w:val="000000"/>
                <w:kern w:val="0"/>
                <w:sz w:val="20"/>
                <w:szCs w:val="20"/>
                <w:highlight w:val="none"/>
                <w:u w:val="none"/>
                <w:lang w:val="en-US" w:eastAsia="zh-CN" w:bidi="ar"/>
              </w:rPr>
              <w:t/>
              <w:t>5</w:t>
            </w: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年度</w:t>
            </w:r>
          </w:p>
        </w:tc>
        <w:tc>
          <w:tcPr>
            <w:tcW w:w="1603" w:type="pct"/>
            <w:gridSpan w:val="3"/>
            <w:tcBorders>
              <w:top w:val="nil"/>
              <w:left w:val="nil"/>
              <w:bottom w:val="single" w:color="000000" w:themeColor="text1" w:sz="8" w:space="0"/>
              <w:right w:val="nil"/>
            </w:tcBorders>
            <w:noWrap/>
            <w:vAlign w:val="bottom"/>
          </w:tcPr>
          <w:p w14:paraId="7F819FFC">
            <w:pPr>
              <w:keepNext w:val="false"/>
              <w:keepLines w:val="false"/>
              <w:widowControl/>
              <w:suppressLineNumbers w:val="false"/>
              <w:jc w:val="right"/>
              <w:textAlignment w:val="bottom"/>
              <w:rPr>
                <w:rFonts w:hint="default" w:ascii="宋体" w:hAnsi="宋体" w:eastAsia="宋体" w:cs="宋体"/>
                <w:i w:val="false"/>
                <w:iCs w:val="false"/>
                <w:color w:val="000000"/>
                <w:kern w:val="0"/>
                <w:sz w:val="20"/>
                <w:szCs w:val="20"/>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4"/>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415D844">
            <w:pPr>
              <w:keepNext w:val="false"/>
              <w:keepLines w:val="false"/>
              <w:widowControl/>
              <w:suppressLineNumbers w:val="false"/>
              <w:jc w:val="center"/>
              <w:textAlignment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xml:space="preserve"/>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669862F">
            <w:pPr>
              <w:keepNext w:val="false"/>
              <w:keepLines w:val="false"/>
              <w:widowControl/>
              <w:suppressLineNumbers w:val="false"/>
              <w:jc w:val="center"/>
              <w:textAlignment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4"/>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4640DBB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33C85B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30AF09EB">
            <w:pPr>
              <w:jc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科目代码</w:t>
            </w:r>
          </w:p>
        </w:tc>
        <w:tc>
          <w:tcPr>
            <w:tcW w:w="1074"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2D03734">
            <w:pPr>
              <w:jc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27C542AE">
            <w:pPr>
              <w:jc w:val="center"/>
              <w:rPr>
                <w:rFonts w:hint="eastAsia"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1DFC0105">
            <w:pPr>
              <w:jc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false"/>
            <w:vAlign w:val="center"/>
          </w:tcPr>
          <w:p w14:paraId="3F171B63">
            <w:pPr>
              <w:jc w:val="center"/>
              <w:rPr>
                <w:rFonts w:hint="default" w:ascii="方正仿宋_GB2312" w:hAnsi="方正仿宋_GB2312" w:eastAsia="方正仿宋_GB2312" w:cs="方正仿宋_GB2312"/>
                <w:i w:val="false"/>
                <w:iCs w:val="false"/>
                <w:color w:val="000000"/>
                <w:sz w:val="20"/>
                <w:szCs w:val="20"/>
                <w:highlight w:val="none"/>
                <w:u w:val="none"/>
                <w:lang w:val="en-US" w:eastAsia="zh-CN"/>
              </w:rPr>
            </w:pPr>
            <w:r>
              <w:rPr>
                <w:rFonts w:hint="eastAsia" w:ascii="方正仿宋_GB2312" w:hAnsi="方正仿宋_GB2312" w:eastAsia="方正仿宋_GB2312" w:cs="方正仿宋_GB2312"/>
                <w:i w:val="false"/>
                <w:iCs w:val="false"/>
                <w:color w:val="000000"/>
                <w:sz w:val="20"/>
                <w:szCs w:val="20"/>
                <w:highlight w:val="none"/>
                <w:u w:val="none"/>
                <w:lang w:val="en-US" w:eastAsia="zh-CN"/>
              </w:rPr>
              <w:t/>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562E7320">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1074"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6B03F0CB">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00919C0A">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false"/>
            <w:vAlign w:val="center"/>
          </w:tcPr>
          <w:p w14:paraId="7B4E4AF5">
            <w:pPr>
              <w:jc w:val="center"/>
              <w:rPr>
                <w:rFonts w:hint="eastAsia" w:ascii="方正仿宋_GB2312" w:hAnsi="方正仿宋_GB2312" w:eastAsia="方正仿宋_GB2312" w:cs="方正仿宋_GB2312"/>
                <w:i w:val="false"/>
                <w:iCs w:val="false"/>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false"/>
            <w:vAlign w:val="center"/>
          </w:tcPr>
          <w:p w14:paraId="6EFCB925">
            <w:pPr>
              <w:jc w:val="center"/>
              <w:rPr>
                <w:rFonts w:hint="eastAsia" w:ascii="方正仿宋_GB2312" w:hAnsi="方正仿宋_GB2312" w:eastAsia="方正仿宋_GB2312" w:cs="方正仿宋_GB2312"/>
                <w:i w:val="false"/>
                <w:iCs w:val="false"/>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false"/>
              <w:keepLines w:val="false"/>
              <w:widowControl/>
              <w:suppressLineNumbers w:val="false"/>
              <w:jc w:val="center"/>
              <w:textAlignment w:val="center"/>
              <w:rPr>
                <w:rFonts w:hint="eastAsia" w:ascii="Times New Roman" w:hAnsi="Times New Roman" w:eastAsia="方正仿宋_GB2312" w:cs="Times New Roman"/>
                <w:i w:val="false"/>
                <w:iCs w:val="false"/>
                <w:color w:val="000000"/>
                <w:sz w:val="20"/>
                <w:szCs w:val="20"/>
                <w:highlight w:val="none"/>
                <w:u w:val="none"/>
                <w:lang w:val="en-US" w:eastAsia="zh-CN"/>
              </w:rPr>
            </w:pPr>
            <w:r>
              <w:rPr>
                <w:rFonts w:hint="eastAsia" w:ascii="Times New Roman" w:hAnsi="Times New Roman" w:eastAsia="方正仿宋_GB2312" w:cs="Times New Roman"/>
                <w:i w:val="false"/>
                <w:iCs w:val="false"/>
                <w:color w:val="000000"/>
                <w:sz w:val="20"/>
                <w:szCs w:val="20"/>
                <w:highlight w:val="none"/>
                <w:u w:val="none"/>
                <w:lang w:val="en-US" w:eastAsia="zh-CN"/>
              </w:rPr>
              <w:t/>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false"/>
              <w:keepLines w:val="false"/>
              <w:widowControl/>
              <w:suppressLineNumbers w:val="false"/>
              <w:jc w:val="center"/>
              <w:textAlignment w:val="center"/>
              <w:rPr>
                <w:rFonts w:hint="eastAsia" w:ascii="Times New Roman" w:hAnsi="Times New Roman" w:eastAsia="方正仿宋_GB2312" w:cs="Times New Roman"/>
                <w:i w:val="false"/>
                <w:iCs w:val="false"/>
                <w:color w:val="000000"/>
                <w:sz w:val="20"/>
                <w:szCs w:val="20"/>
                <w:highlight w:val="none"/>
                <w:u w:val="none"/>
                <w:lang w:val="en-US" w:eastAsia="zh-CN"/>
              </w:rPr>
            </w:pPr>
            <w:r>
              <w:rPr>
                <w:rFonts w:hint="eastAsia" w:ascii="Times New Roman" w:hAnsi="Times New Roman" w:eastAsia="方正仿宋_GB2312" w:cs="Times New Roman"/>
                <w:i w:val="false"/>
                <w:iCs w:val="false"/>
                <w:color w:val="000000"/>
                <w:sz w:val="20"/>
                <w:szCs w:val="20"/>
                <w:highlight w:val="none"/>
                <w:u w:val="none"/>
                <w:lang w:val="en-US" w:eastAsia="zh-CN"/>
              </w:rPr>
              <w:t/>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false"/>
              <w:keepLines w:val="false"/>
              <w:widowControl/>
              <w:suppressLineNumbers w:val="false"/>
              <w:jc w:val="center"/>
              <w:textAlignment w:val="center"/>
              <w:rPr>
                <w:rFonts w:hint="eastAsia" w:ascii="Times New Roman" w:hAnsi="Times New Roman" w:eastAsia="方正仿宋_GB2312" w:cs="Times New Roman"/>
                <w:i w:val="false"/>
                <w:iCs w:val="false"/>
                <w:color w:val="000000"/>
                <w:sz w:val="20"/>
                <w:szCs w:val="20"/>
                <w:highlight w:val="none"/>
                <w:u w:val="none"/>
                <w:lang w:val="en-US" w:eastAsia="zh-CN"/>
              </w:rPr>
            </w:pPr>
            <w:r>
              <w:rPr>
                <w:rFonts w:hint="eastAsia" w:ascii="Times New Roman" w:hAnsi="Times New Roman" w:eastAsia="方正仿宋_GB2312" w:cs="Times New Roman"/>
                <w:i w:val="false"/>
                <w:iCs w:val="false"/>
                <w:color w:val="000000"/>
                <w:sz w:val="20"/>
                <w:szCs w:val="20"/>
                <w:highlight w:val="none"/>
                <w:u w:val="none"/>
                <w:lang w:val="en-US" w:eastAsia="zh-CN"/>
              </w:rPr>
              <w:t/>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false"/>
              <w:keepLines w:val="false"/>
              <w:widowControl/>
              <w:suppressLineNumbers w:val="false"/>
              <w:jc w:val="center"/>
              <w:textAlignment w:val="center"/>
              <w:rPr>
                <w:rFonts w:hint="eastAsia" w:ascii="Times New Roman" w:hAnsi="Times New Roman" w:eastAsia="方正仿宋_GB2312" w:cs="Times New Roman"/>
                <w:i w:val="false"/>
                <w:iCs w:val="false"/>
                <w:color w:val="000000"/>
                <w:sz w:val="20"/>
                <w:szCs w:val="20"/>
                <w:highlight w:val="none"/>
                <w:u w:val="none"/>
                <w:lang w:val="en-US" w:eastAsia="zh-CN"/>
              </w:rPr>
            </w:pPr>
            <w:r>
              <w:rPr>
                <w:rFonts w:hint="eastAsia" w:ascii="Times New Roman" w:hAnsi="Times New Roman" w:eastAsia="方正仿宋_GB2312" w:cs="Times New Roman"/>
                <w:i w:val="false"/>
                <w:iCs w:val="false"/>
                <w:color w:val="000000"/>
                <w:sz w:val="20"/>
                <w:szCs w:val="20"/>
                <w:highlight w:val="none"/>
                <w:u w:val="none"/>
                <w:lang w:val="en-US" w:eastAsia="zh-CN"/>
              </w:rPr>
              <w:t/>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false"/>
                <w:iCs w:val="false"/>
                <w:color w:val="000000"/>
                <w:sz w:val="20"/>
                <w:szCs w:val="20"/>
                <w:highlight w:val="none"/>
                <w:u w:val="none"/>
                <w:lang w:val="en-US" w:eastAsia="zh-CN"/>
              </w:rPr>
            </w:pPr>
            <w:r>
              <w:rPr>
                <w:rFonts w:hint="eastAsia" w:ascii="Times New Roman" w:hAnsi="Times New Roman" w:eastAsia="方正仿宋_GB2312" w:cs="Times New Roman"/>
                <w:i w:val="false"/>
                <w:iCs w:val="false"/>
                <w:color w:val="000000"/>
                <w:sz w:val="20"/>
                <w:szCs w:val="20"/>
                <w:highlight w:val="none"/>
                <w:u w:val="none"/>
                <w:lang w:val="en-US" w:eastAsia="zh-CN"/>
              </w:rPr>
              <w:t/>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false"/>
                <w:iCs w:val="false"/>
                <w:color w:val="000000"/>
                <w:sz w:val="20"/>
                <w:szCs w:val="20"/>
                <w:highlight w:val="none"/>
                <w:u w:val="none"/>
              </w:rPr>
            </w:pPr>
            <w:r>
              <w:rPr>
                <w:rFonts w:hint="default" w:ascii="Times New Roman" w:hAnsi="Times New Roman" w:eastAsia="宋体" w:cs="Times New Roman"/>
                <w:i w:val="false"/>
                <w:iCs w:val="false"/>
                <w:color w:val="000000"/>
                <w:sz w:val="20"/>
                <w:szCs w:val="20"/>
                <w:highlight w:val="none"/>
                <w:u w:val="none"/>
              </w:rPr>
              <w:t/>
              <w:t/>
            </w: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single" w:color="000000" w:themeColor="text1" w:sz="8" w:space="0"/>
              <w:left w:val="nil"/>
              <w:bottom w:val="nil"/>
              <w:right w:val="nil"/>
            </w:tcBorders>
            <w:noWrap/>
            <w:vAlign w:val="center"/>
          </w:tcPr>
          <w:p w14:paraId="01BC9E67">
            <w:pPr>
              <w:keepNext w:val="false"/>
              <w:keepLines w:val="false"/>
              <w:widowControl/>
              <w:suppressLineNumbers w:val="false"/>
              <w:jc w:val="left"/>
              <w:textAlignment w:val="center"/>
              <w:rPr>
                <w:rFonts w:hint="eastAsia" w:ascii="宋体" w:hAnsi="宋体" w:eastAsia="宋体" w:cs="宋体"/>
                <w:i w:val="false"/>
                <w:iCs w:val="false"/>
                <w:color w:val="000000"/>
                <w:sz w:val="20"/>
                <w:szCs w:val="20"/>
                <w:highlight w:val="none"/>
                <w:u w:val="none"/>
              </w:rPr>
            </w:pPr>
            <w:r>
              <w:rPr>
                <w:rFonts w:hint="eastAsia" w:ascii="方正仿宋_GB2312" w:hAnsi="方正仿宋_GB2312" w:eastAsia="方正仿宋_GB2312" w:cs="方正仿宋_GB2312"/>
                <w:i w:val="false"/>
                <w:iCs w:val="false"/>
                <w:color w:val="000000"/>
                <w:kern w:val="0"/>
                <w:sz w:val="20"/>
                <w:szCs w:val="20"/>
                <w:highlight w:val="none"/>
                <w:u w:val="none"/>
                <w:lang w:val="en-US" w:eastAsia="zh-CN" w:bidi="ar"/>
              </w:rPr>
              <w:t/>
              <w:t>注：本表反映部门本年度国有资本经营预算财政拨款支出情况。（如无相关数据，则需注明空表列示）</w:t>
            </w:r>
          </w:p>
        </w:tc>
      </w:tr>
    </w:tbl>
    <w:p w14:paraId="313A4E16">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false"/>
              <w:keepLines w:val="false"/>
              <w:widowControl/>
              <w:suppressLineNumbers w:val="false"/>
              <w:jc w:val="center"/>
              <w:textAlignment w:val="bottom"/>
              <w:rPr>
                <w:rFonts w:hint="eastAsia" w:ascii="宋体" w:hAnsi="宋体" w:eastAsia="宋体" w:cs="宋体"/>
                <w:i w:val="false"/>
                <w:iCs w:val="false"/>
                <w:color w:val="000000"/>
                <w:sz w:val="18"/>
                <w:szCs w:val="18"/>
                <w:highlight w:val="none"/>
                <w:u w:val="none"/>
              </w:rPr>
            </w:pPr>
            <w:r>
              <w:rPr>
                <w:rFonts w:hint="eastAsia" w:ascii="方正仿宋_GB2312" w:hAnsi="方正仿宋_GB2312" w:eastAsia="方正仿宋_GB2312" w:cs="方正仿宋_GB2312"/>
                <w:b w:val="false"/>
                <w:bCs/>
                <w:color w:val="auto"/>
                <w:kern w:val="0"/>
                <w:sz w:val="32"/>
                <w:szCs w:val="32"/>
                <w:highlight w:val="none"/>
                <w:lang w:val="en-US" w:eastAsia="zh-CN"/>
              </w:rPr>
              <w:t/>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false"/>
              <w:keepLines w:val="false"/>
              <w:widowControl/>
              <w:suppressLineNumbers w:val="false"/>
              <w:jc w:val="right"/>
              <w:textAlignment w:val="bottom"/>
              <w:rPr>
                <w:rFonts w:hint="eastAsia" w:ascii="宋体" w:hAnsi="宋体" w:eastAsia="宋体" w:cs="宋体"/>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公开</w:t>
            </w: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09</w:t>
            </w: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false"/>
              <w:keepLines w:val="false"/>
              <w:widowControl/>
              <w:suppressLineNumbers w:val="false"/>
              <w:jc w:val="left"/>
              <w:textAlignment w:val="bottom"/>
              <w:rPr>
                <w:rFonts w:hint="eastAsia" w:ascii="宋体" w:hAnsi="宋体" w:eastAsia="宋体" w:cs="宋体"/>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部门（单位）：元氏县殷村镇人民政府(本级)</w:t>
            </w:r>
          </w:p>
        </w:tc>
        <w:tc>
          <w:tcPr>
            <w:tcW w:w="933" w:type="pct"/>
            <w:gridSpan w:val="3"/>
            <w:tcBorders>
              <w:top w:val="nil"/>
              <w:left w:val="nil"/>
              <w:bottom w:val="single" w:color="000000" w:themeColor="text1" w:sz="8" w:space="0"/>
              <w:right w:val="nil"/>
            </w:tcBorders>
            <w:noWrap/>
            <w:vAlign w:val="bottom"/>
          </w:tcPr>
          <w:p w14:paraId="701DA5D1">
            <w:pPr>
              <w:keepNext w:val="false"/>
              <w:keepLines w:val="false"/>
              <w:widowControl/>
              <w:suppressLineNumbers w:val="false"/>
              <w:jc w:val="center"/>
              <w:textAlignment w:val="bottom"/>
              <w:rPr>
                <w:rFonts w:hint="default" w:ascii="宋体" w:hAnsi="宋体" w:eastAsia="宋体" w:cs="宋体"/>
                <w:i w:val="false"/>
                <w:iCs w:val="false"/>
                <w:color w:val="000000"/>
                <w:kern w:val="0"/>
                <w:sz w:val="18"/>
                <w:szCs w:val="18"/>
                <w:highlight w:val="none"/>
                <w:u w:val="none"/>
                <w:lang w:val="en-US" w:eastAsia="zh-CN" w:bidi="ar"/>
              </w:rPr>
            </w:pPr>
            <w:r>
              <w:rPr>
                <w:rFonts w:hint="default" w:ascii="Times New Roman" w:hAnsi="Times New Roman" w:eastAsia="宋体" w:cs="Times New Roman"/>
                <w:i w:val="false"/>
                <w:iCs w:val="false"/>
                <w:color w:val="000000"/>
                <w:kern w:val="0"/>
                <w:sz w:val="18"/>
                <w:szCs w:val="18"/>
                <w:highlight w:val="none"/>
                <w:u w:val="none"/>
                <w:lang w:val="en-US" w:eastAsia="zh-CN" w:bidi="ar"/>
              </w:rPr>
              <w:t/>
              <w:t>202</w:t>
            </w:r>
            <w:r>
              <w:rPr>
                <w:rFonts w:hint="eastAsia" w:ascii="Times New Roman" w:hAnsi="Times New Roman" w:eastAsia="宋体" w:cs="Times New Roman"/>
                <w:i w:val="false"/>
                <w:iCs w:val="false"/>
                <w:color w:val="000000"/>
                <w:kern w:val="0"/>
                <w:sz w:val="18"/>
                <w:szCs w:val="18"/>
                <w:highlight w:val="none"/>
                <w:u w:val="none"/>
                <w:lang w:val="en-US" w:eastAsia="zh-CN" w:bidi="ar"/>
              </w:rPr>
              <w:t/>
              <w:t>5</w:t>
            </w: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年度</w:t>
            </w:r>
          </w:p>
        </w:tc>
        <w:tc>
          <w:tcPr>
            <w:tcW w:w="2129" w:type="pct"/>
            <w:gridSpan w:val="6"/>
            <w:tcBorders>
              <w:top w:val="nil"/>
              <w:left w:val="nil"/>
              <w:bottom w:val="single" w:color="000000" w:themeColor="text1" w:sz="8" w:space="0"/>
              <w:right w:val="nil"/>
            </w:tcBorders>
            <w:noWrap/>
            <w:vAlign w:val="bottom"/>
          </w:tcPr>
          <w:p w14:paraId="4C27C4B7">
            <w:pPr>
              <w:keepNext w:val="false"/>
              <w:keepLines w:val="false"/>
              <w:widowControl/>
              <w:suppressLineNumbers w:val="false"/>
              <w:jc w:val="right"/>
              <w:textAlignment w:val="bottom"/>
              <w:rPr>
                <w:rFonts w:hint="default" w:ascii="宋体" w:hAnsi="宋体" w:eastAsia="宋体" w:cs="宋体"/>
                <w:i w:val="false"/>
                <w:iCs w:val="false"/>
                <w:color w:val="000000"/>
                <w:kern w:val="0"/>
                <w:sz w:val="18"/>
                <w:szCs w:val="18"/>
                <w:highlight w:val="none"/>
                <w:u w:val="none"/>
                <w:lang w:val="en-US" w:eastAsia="zh-CN" w:bidi="ar"/>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false"/>
                <w:iCs w:val="false"/>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false"/>
                <w:iCs w:val="false"/>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false"/>
                <w:iCs w:val="false"/>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false"/>
                <w:iCs w:val="false"/>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false"/>
                <w:iCs w:val="false"/>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false"/>
              <w:keepLines w:val="false"/>
              <w:widowControl/>
              <w:suppressLineNumbers w:val="false"/>
              <w:jc w:val="center"/>
              <w:textAlignment w:val="center"/>
              <w:rPr>
                <w:rFonts w:hint="eastAsia" w:ascii="方正仿宋_GB2312" w:hAnsi="方正仿宋_GB2312" w:eastAsia="方正仿宋_GB2312" w:cs="方正仿宋_GB2312"/>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false"/>
                <w:iCs w:val="false"/>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false"/>
              <w:keepLines w:val="false"/>
              <w:widowControl/>
              <w:suppressLineNumbers w:val="false"/>
              <w:jc w:val="center"/>
              <w:textAlignment w:val="center"/>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kern w:val="0"/>
                <w:sz w:val="18"/>
                <w:szCs w:val="18"/>
                <w:highlight w:val="none"/>
                <w:u w:val="none"/>
                <w:lang w:val="en-US" w:eastAsia="zh-CN" w:bidi="ar"/>
              </w:rPr>
              <w:t/>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2.60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2.60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2.60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0.89</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0.89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0.89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false"/>
                <w:iCs w:val="false"/>
                <w:color w:val="000000"/>
                <w:sz w:val="18"/>
                <w:szCs w:val="18"/>
                <w:highlight w:val="none"/>
                <w:u w:val="none"/>
              </w:rPr>
            </w:pPr>
            <w:r>
              <w:rPr>
                <w:rFonts w:hint="default" w:ascii="Times New Roman" w:hAnsi="Times New Roman" w:eastAsia="方正仿宋_GB2312" w:cs="Times New Roman"/>
                <w:i w:val="false"/>
                <w:iCs w:val="false"/>
                <w:color w:val="000000"/>
                <w:sz w:val="18"/>
                <w:szCs w:val="18"/>
                <w:highlight w:val="none"/>
                <w:u w:val="none"/>
              </w:rPr>
              <w:t/>
              <w:t/>
            </w: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false"/>
              <w:keepLines w:val="false"/>
              <w:widowControl/>
              <w:suppressLineNumbers w:val="false"/>
              <w:jc w:val="left"/>
              <w:textAlignment w:val="center"/>
              <w:rPr>
                <w:rFonts w:hint="eastAsia" w:ascii="宋体" w:hAnsi="宋体" w:eastAsia="宋体" w:cs="宋体"/>
                <w:i w:val="false"/>
                <w:iCs w:val="false"/>
                <w:color w:val="000000"/>
                <w:sz w:val="18"/>
                <w:szCs w:val="18"/>
                <w:highlight w:val="none"/>
                <w:u w:val="none"/>
              </w:rPr>
            </w:pPr>
            <w:r>
              <w:rPr>
                <w:rFonts w:hint="eastAsia" w:ascii="方正仿宋_GB2312" w:hAnsi="方正仿宋_GB2312" w:eastAsia="方正仿宋_GB2312" w:cs="方正仿宋_GB2312"/>
                <w:i w:val="false"/>
                <w:iCs w:val="false"/>
                <w:color w:val="000000"/>
                <w:kern w:val="0"/>
                <w:sz w:val="18"/>
                <w:szCs w:val="18"/>
                <w:highlight w:val="none"/>
                <w:u w:val="none"/>
                <w:lang w:val="en-US" w:eastAsia="zh-CN" w:bidi="ar"/>
              </w:rPr>
              <w:t/>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false"/>
        <w:keepLines w:val="false"/>
        <w:pageBreakBefore w:val="false"/>
        <w:widowControl w:val="false"/>
        <w:kinsoku/>
        <w:wordWrap/>
        <w:overflowPunct/>
        <w:topLinePunct w:val="false"/>
        <w:autoSpaceDE/>
        <w:autoSpaceDN/>
        <w:bidi w:val="false"/>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w:type="default" r:id="rId8"/>
          <w:footerReference w:type="default" r:id="rId20"/>
          <w:pgSz w:w="11906" w:h="16838"/>
          <w:pgMar w:top="1531" w:right="1984" w:bottom="1531" w:left="2098" w:header="851" w:footer="992" w:gutter="0"/>
          <w:pgBorders>
            <w:top w:val="none" w:sz="0" w:space="0"/>
            <w:left w:val="none" w:sz="0" w:space="0"/>
            <w:bottom w:val="none" w:sz="0" w:space="0"/>
            <w:right w:val="none" w:sz="0" w:space="0"/>
          </w:pgBorders>
          <w:pgNumType/>
          <w:cols w:space="720" w:num="1"/>
          <w:docGrid w:type="lines" w:linePitch="312" w:charSpace="0"/>
        </w:sectPr>
      </w:pPr>
    </w:p>
    <w:p w14:paraId="48BB9135">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rPr>
          <w:rFonts w:hint="eastAsia" w:ascii="黑体" w:hAnsi="宋体" w:eastAsia="黑体" w:cs="黑体"/>
          <w:i w:val="false"/>
          <w:iCs w:val="false"/>
          <w:caps w:val="false"/>
          <w:color w:val="000000"/>
          <w:spacing w:val="-20"/>
          <w:sz w:val="72"/>
          <w:szCs w:val="72"/>
          <w:highlight w:val="none"/>
          <w:shd w:val="clear" w:fill="FFFFFF"/>
          <w:lang w:val="en-US" w:eastAsia="zh-CN"/>
        </w:rPr>
      </w:pPr>
    </w:p>
    <w:p w14:paraId="77774C4E">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rPr>
          <w:rFonts w:hint="eastAsia" w:ascii="黑体" w:hAnsi="宋体" w:eastAsia="黑体" w:cs="黑体"/>
          <w:i w:val="false"/>
          <w:iCs w:val="false"/>
          <w:caps w:val="false"/>
          <w:color w:val="000000"/>
          <w:spacing w:val="-20"/>
          <w:sz w:val="72"/>
          <w:szCs w:val="72"/>
          <w:highlight w:val="none"/>
          <w:shd w:val="clear" w:fill="FFFFFF"/>
          <w:lang w:val="en-US" w:eastAsia="zh-CN"/>
        </w:rPr>
      </w:pPr>
    </w:p>
    <w:p w14:paraId="7ECAB71E">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rPr>
          <w:rFonts w:hint="eastAsia" w:ascii="黑体" w:hAnsi="宋体" w:eastAsia="黑体" w:cs="黑体"/>
          <w:i w:val="false"/>
          <w:iCs w:val="false"/>
          <w:caps w:val="false"/>
          <w:color w:val="000000"/>
          <w:spacing w:val="-20"/>
          <w:sz w:val="72"/>
          <w:szCs w:val="72"/>
          <w:highlight w:val="none"/>
          <w:shd w:val="clear" w:fill="FFFFFF"/>
          <w:lang w:val="en-US" w:eastAsia="zh-CN"/>
        </w:rPr>
      </w:pPr>
    </w:p>
    <w:p w14:paraId="54922758">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rPr>
          <w:rFonts w:hint="eastAsia" w:ascii="黑体" w:hAnsi="宋体" w:eastAsia="黑体" w:cs="黑体"/>
          <w:i w:val="false"/>
          <w:iCs w:val="false"/>
          <w:caps w:val="false"/>
          <w:color w:val="000000"/>
          <w:spacing w:val="-20"/>
          <w:sz w:val="72"/>
          <w:szCs w:val="72"/>
          <w:highlight w:val="none"/>
          <w:shd w:val="clear" w:fill="FFFFFF"/>
          <w:lang w:val="en-US" w:eastAsia="zh-CN"/>
        </w:rPr>
      </w:pPr>
    </w:p>
    <w:p w14:paraId="056FB832">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rPr>
          <w:rFonts w:hint="eastAsia" w:ascii="黑体" w:hAnsi="宋体" w:eastAsia="黑体" w:cs="黑体"/>
          <w:i w:val="false"/>
          <w:iCs w:val="false"/>
          <w:caps w:val="false"/>
          <w:color w:val="000000"/>
          <w:spacing w:val="-20"/>
          <w:sz w:val="72"/>
          <w:szCs w:val="72"/>
          <w:highlight w:val="none"/>
          <w:shd w:val="clear" w:fill="FFFFFF"/>
          <w:lang w:val="en-US" w:eastAsia="zh-CN"/>
        </w:rPr>
      </w:pPr>
    </w:p>
    <w:p>
      <w:pPr>
        <w:widowControl w:val="true"/>
        <w:spacing w:before="0" w:beforeLines="0" w:beforeAutospacing="false" w:after="0" w:afterLines="0" w:afterAutospacing="false" w:line="360" w:lineRule="auto"/>
        <w:ind/>
        <w:jc w:val="center"/>
        <w:outlineLvl w:val="0"/>
        <w:rPr>
          <w:rFonts w:ascii="Times New Roman" w:eastAsia="黑体"/>
          <w:sz w:val="44"/>
          <w:szCs w:val="44"/>
        </w:rPr>
      </w:pPr>
      <w:r>
        <w:rPr>
          <w:rFonts w:ascii="Times New Roman" w:eastAsia="黑体"/>
          <w:b w:val="false"/>
          <w:sz w:val="44"/>
          <w:szCs w:val="44"/>
        </w:rPr>
        <w:t>第三部分 </w:t>
      </w:r>
      <w:r>
        <w:rPr>
          <w:rFonts w:ascii="Times New Roman" w:eastAsia="仿宋_GB2312"/>
          <w:b w:val="false"/>
          <w:sz w:val="44"/>
          <w:szCs w:val="44"/>
        </w:rPr>
        <w:t>2025</w:t>
      </w:r>
      <w:r>
        <w:rPr>
          <w:rFonts w:ascii="Times New Roman" w:eastAsia="黑体"/>
          <w:b w:val="false"/>
          <w:sz w:val="44"/>
          <w:szCs w:val="44"/>
        </w:rPr>
        <w:t>年度部门决算情况说明</w:t>
      </w:r>
    </w:p>
    <w:p w14:paraId="7C6C63AF">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both"/>
        <w:outlineLvl w:val="1"/>
        <w:rPr>
          <w:rFonts w:hint="eastAsia" w:ascii="黑体" w:hAnsi="Calibri" w:eastAsia="黑体" w:cs="Times New Roman"/>
          <w:kern w:val="2"/>
          <w:sz w:val="32"/>
          <w:szCs w:val="32"/>
          <w:lang w:val="en-US" w:eastAsia="zh-CN" w:bidi="ar-SA"/>
        </w:rPr>
        <w:sectPr>
          <w:footerReference w:type="default" r:id="rId20"/>
          <w:pgSz w:w="11906" w:h="16838"/>
          <w:pgMar w:top="2098" w:right="1417" w:bottom="1871" w:left="1417" w:header="851" w:footer="992" w:gutter="0"/>
          <w:pgBorders>
            <w:top w:val="none" w:sz="0" w:space="0"/>
            <w:left w:val="none" w:sz="0" w:space="0"/>
            <w:bottom w:val="none" w:sz="0" w:space="0"/>
            <w:right w:val="none" w:sz="0" w:space="0"/>
          </w:pgBorders>
          <w:pgNumType/>
          <w:cols w:space="0" w:num="1"/>
          <w:rtlGutter w:val="false"/>
          <w:docGrid w:type="lines" w:linePitch="329" w:charSpace="0"/>
        </w:sectPr>
      </w:pPr>
    </w:p>
    <w:p>
      <w:pPr>
        <w:widowControl w:val="true"/>
        <w:spacing w:before="0" w:beforeLines="0" w:beforeAutospacing="false" w:after="0" w:afterLines="0" w:afterAutospacing="false" w:line="360" w:lineRule="auto"/>
        <w:ind/>
        <w:jc w:val="left"/>
        <w:outlineLvl w:val="1"/>
        <w:rPr>
          <w:rFonts w:ascii="Times New Roman" w:eastAsia="黑体"/>
          <w:sz w:val="32"/>
          <w:szCs w:val="32"/>
        </w:rPr>
      </w:pPr>
      <w:r>
        <w:rPr>
          <w:rFonts w:ascii="Times New Roman" w:eastAsia="黑体"/>
          <w:b w:val="false"/>
          <w:sz w:val="32"/>
          <w:szCs w:val="32"/>
        </w:rPr>
        <w:t>一、收入支出决算总体情况说明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w:t>
      </w:r>
      <w:r>
        <w:rPr>
          <w:rFonts w:ascii="Times New Roman" w:eastAsia="仿宋_GB2312"/>
          <w:b w:val="false"/>
          <w:sz w:val="32"/>
          <w:szCs w:val="32"/>
        </w:rPr>
        <w:t>年度收、支总计（含结转和结余）均为</w:t>
      </w:r>
      <w:r>
        <w:rPr>
          <w:rFonts w:ascii="Times New Roman" w:eastAsia="仿宋_GB2312"/>
          <w:b w:val="false"/>
          <w:sz w:val="32"/>
          <w:szCs w:val="32"/>
        </w:rPr>
        <w:t>2,255.93</w:t>
      </w:r>
      <w:r>
        <w:rPr>
          <w:rFonts w:ascii="Times New Roman" w:eastAsia="仿宋_GB2312"/>
          <w:b w:val="false"/>
          <w:sz w:val="32"/>
          <w:szCs w:val="32"/>
        </w:rPr>
        <w:t>万元。与</w:t>
      </w:r>
      <w:r>
        <w:rPr>
          <w:rFonts w:ascii="Times New Roman" w:eastAsia="仿宋_GB2312"/>
          <w:b w:val="false"/>
          <w:sz w:val="32"/>
          <w:szCs w:val="32"/>
        </w:rPr>
        <w:t>2024</w:t>
      </w:r>
      <w:r>
        <w:rPr>
          <w:rFonts w:ascii="Times New Roman" w:eastAsia="仿宋_GB2312"/>
          <w:b w:val="false"/>
          <w:sz w:val="32"/>
          <w:szCs w:val="32"/>
        </w:rPr>
        <w:t>年度决算相比，收支各</w:t>
      </w:r>
      <w:r>
        <w:rPr>
          <w:rFonts w:ascii="Times New Roman" w:eastAsia="仿宋_GB2312"/>
          <w:b w:val="false"/>
          <w:sz w:val="32"/>
          <w:szCs w:val="32"/>
        </w:rPr>
        <w:t>增加</w:t>
      </w:r>
      <w:r>
        <w:rPr>
          <w:rFonts w:ascii="Times New Roman" w:eastAsia="仿宋_GB2312"/>
          <w:b w:val="false"/>
          <w:sz w:val="32"/>
          <w:szCs w:val="32"/>
        </w:rPr>
        <w:t>1,289.46</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133.4</w:t>
      </w:r>
      <w:r>
        <w:rPr>
          <w:rFonts w:ascii="Times New Roman" w:eastAsia="仿宋_GB2312"/>
          <w:b w:val="false"/>
          <w:sz w:val="32"/>
          <w:szCs w:val="32"/>
        </w:rPr>
        <w:t>%，主要原因是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w:t>
      </w:r>
    </w:p>
    <w:p w14:paraId="55CC107B">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a:graphicData uri="http://schemas.openxmlformats.org/drawingml/2006/chart">
                <c:chart r:id="rId11"/>
              </a:graphicData>
            </a:graphic>
          </wp:inline>
        </w:drawing>
      </w:r>
      <w:r>
        <w:rPr>
          <w:rFonts w:hint="default" w:ascii="Times New Roman" w:hAnsi="Times New Roman" w:eastAsia="Arial" w:cs="Times New Roman"/>
          <w:i w:val="false"/>
          <w:iCs w:val="false"/>
          <w:caps w:val="false"/>
          <w:color w:val="000000"/>
          <w:spacing w:val="0"/>
          <w:sz w:val="18"/>
          <w:szCs w:val="18"/>
          <w:highlight w:val="none"/>
          <w:shd w:val="clear" w:fill="FFFFFF"/>
        </w:rPr>
        <w:t/>
        <w:t> </w:t>
      </w:r>
    </w:p>
    <w:p>
      <w:pPr>
        <w:widowControl w:val="true"/>
        <w:spacing w:before="0" w:beforeLines="0" w:beforeAutospacing="false" w:after="0" w:afterLines="0" w:afterAutospacing="false" w:line="360" w:lineRule="auto"/>
        <w:ind/>
        <w:jc w:val="left"/>
        <w:outlineLvl w:val="1"/>
        <w:rPr>
          <w:rFonts w:ascii="Times New Roman" w:eastAsia="黑体"/>
          <w:sz w:val="32"/>
          <w:szCs w:val="32"/>
        </w:rPr>
      </w:pPr>
      <w:r>
        <w:rPr>
          <w:rFonts w:ascii="Times New Roman" w:eastAsia="黑体"/>
          <w:b w:val="false"/>
          <w:sz w:val="32"/>
          <w:szCs w:val="32"/>
        </w:rPr>
        <w:t>二、收入决算情况说明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w:t>
      </w:r>
      <w:r>
        <w:rPr>
          <w:rFonts w:ascii="Times New Roman" w:eastAsia="仿宋_GB2312"/>
          <w:b w:val="false"/>
          <w:sz w:val="32"/>
          <w:szCs w:val="32"/>
        </w:rPr>
        <w:t>年度本年收入合计</w:t>
      </w:r>
      <w:r>
        <w:rPr>
          <w:rFonts w:ascii="Times New Roman" w:eastAsia="仿宋_GB2312"/>
          <w:b w:val="false"/>
          <w:sz w:val="32"/>
          <w:szCs w:val="32"/>
        </w:rPr>
        <w:t>2,255.93</w:t>
      </w:r>
      <w:r>
        <w:rPr>
          <w:rFonts w:ascii="Times New Roman" w:eastAsia="仿宋_GB2312"/>
          <w:b w:val="false"/>
          <w:sz w:val="32"/>
          <w:szCs w:val="32"/>
        </w:rPr>
        <w:t>万元，其中：财政拨款收入</w:t>
      </w:r>
      <w:r>
        <w:rPr>
          <w:rFonts w:ascii="Times New Roman" w:eastAsia="仿宋_GB2312"/>
          <w:b w:val="false"/>
          <w:sz w:val="32"/>
          <w:szCs w:val="32"/>
        </w:rPr>
        <w:t>2,255.93</w:t>
      </w:r>
      <w:r>
        <w:rPr>
          <w:rFonts w:ascii="Times New Roman" w:eastAsia="仿宋_GB2312"/>
          <w:b w:val="false"/>
          <w:sz w:val="32"/>
          <w:szCs w:val="32"/>
        </w:rPr>
        <w:t>万元，占</w:t>
      </w:r>
      <w:r>
        <w:rPr>
          <w:rFonts w:ascii="Times New Roman" w:eastAsia="仿宋_GB2312"/>
          <w:b w:val="false"/>
          <w:sz w:val="32"/>
          <w:szCs w:val="32"/>
        </w:rPr>
        <w:t>100.0</w:t>
      </w:r>
      <w:r>
        <w:rPr>
          <w:rFonts w:ascii="Times New Roman" w:eastAsia="仿宋_GB2312"/>
          <w:b w:val="false"/>
          <w:sz w:val="32"/>
          <w:szCs w:val="32"/>
        </w:rPr>
        <w:t>%；上级补助收入</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%；事业收入</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%；经营收入</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%；附属单位上缴收入</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%；其他收入</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w:t>
      </w:r>
    </w:p>
    <w:p w14:paraId="3EDA1CE7">
      <w:pPr>
        <w:adjustRightInd w:val="false"/>
        <w:snapToGrid w:val="false"/>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false" relativeHeight="251660288" behindDoc="false" locked="false" layoutInCell="true" allowOverlap="true">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a:graphicData uri="http://schemas.openxmlformats.org/drawingml/2006/chart">
                <c:chart r:id="rId12"/>
              </a:graphicData>
            </a:graphic>
          </wp:anchor>
        </w:drawing>
      </w:r>
    </w:p>
    <w:p>
      <w:pPr>
        <w:widowControl w:val="true"/>
        <w:spacing w:before="0" w:beforeLines="0" w:beforeAutospacing="false" w:after="0" w:afterLines="0" w:afterAutospacing="false" w:line="360" w:lineRule="auto"/>
        <w:ind/>
        <w:jc w:val="left"/>
        <w:outlineLvl w:val="1"/>
        <w:rPr>
          <w:rFonts w:ascii="Times New Roman" w:eastAsia="黑体"/>
          <w:sz w:val="32"/>
          <w:szCs w:val="32"/>
        </w:rPr>
      </w:pPr>
      <w:r>
        <w:rPr>
          <w:rFonts w:ascii="Times New Roman" w:eastAsia="黑体"/>
          <w:b w:val="false"/>
          <w:sz w:val="32"/>
          <w:szCs w:val="32"/>
        </w:rPr>
        <w:t>三、支出决算情况说明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2025年度本年支出合计</w:t>
      </w:r>
      <w:r>
        <w:rPr>
          <w:rFonts w:ascii="Times New Roman" w:eastAsia="仿宋_GB2312"/>
          <w:b w:val="false"/>
          <w:sz w:val="32"/>
          <w:szCs w:val="32"/>
        </w:rPr>
        <w:t>2,255.93</w:t>
      </w:r>
      <w:r>
        <w:rPr>
          <w:rFonts w:ascii="Times New Roman" w:eastAsia="仿宋_GB2312"/>
          <w:b w:val="false"/>
          <w:sz w:val="32"/>
          <w:szCs w:val="32"/>
        </w:rPr>
        <w:t>万元，其中：基本支出</w:t>
      </w:r>
      <w:r>
        <w:rPr>
          <w:rFonts w:ascii="Times New Roman" w:eastAsia="仿宋_GB2312"/>
          <w:b w:val="false"/>
          <w:sz w:val="32"/>
          <w:szCs w:val="32"/>
        </w:rPr>
        <w:t>591.11</w:t>
      </w:r>
      <w:r>
        <w:rPr>
          <w:rFonts w:ascii="Times New Roman" w:eastAsia="仿宋_GB2312"/>
          <w:b w:val="false"/>
          <w:sz w:val="32"/>
          <w:szCs w:val="32"/>
        </w:rPr>
        <w:t>万元，占</w:t>
      </w:r>
      <w:r>
        <w:rPr>
          <w:rFonts w:ascii="Times New Roman" w:eastAsia="仿宋_GB2312"/>
          <w:b w:val="false"/>
          <w:sz w:val="32"/>
          <w:szCs w:val="32"/>
        </w:rPr>
        <w:t>26.2</w:t>
      </w:r>
      <w:r>
        <w:rPr>
          <w:rFonts w:ascii="Times New Roman" w:eastAsia="仿宋_GB2312"/>
          <w:b w:val="false"/>
          <w:sz w:val="32"/>
          <w:szCs w:val="32"/>
        </w:rPr>
        <w:t>%；项目支出</w:t>
      </w:r>
      <w:r>
        <w:rPr>
          <w:rFonts w:ascii="Times New Roman" w:eastAsia="仿宋_GB2312"/>
          <w:b w:val="false"/>
          <w:sz w:val="32"/>
          <w:szCs w:val="32"/>
        </w:rPr>
        <w:t>1,664.82</w:t>
      </w:r>
      <w:r>
        <w:rPr>
          <w:rFonts w:ascii="Times New Roman" w:eastAsia="仿宋_GB2312"/>
          <w:b w:val="false"/>
          <w:sz w:val="32"/>
          <w:szCs w:val="32"/>
        </w:rPr>
        <w:t>万元，占</w:t>
      </w:r>
      <w:r>
        <w:rPr>
          <w:rFonts w:ascii="Times New Roman" w:eastAsia="仿宋_GB2312"/>
          <w:b w:val="false"/>
          <w:sz w:val="32"/>
          <w:szCs w:val="32"/>
        </w:rPr>
        <w:t>73.8</w:t>
      </w:r>
      <w:r>
        <w:rPr>
          <w:rFonts w:ascii="Times New Roman" w:eastAsia="仿宋_GB2312"/>
          <w:b w:val="false"/>
          <w:sz w:val="32"/>
          <w:szCs w:val="32"/>
        </w:rPr>
        <w:t>%；经营支出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%；上缴上级支出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%；对附属单位补助支出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w:t>
      </w:r>
    </w:p>
    <w:p w14:paraId="1EDB8620">
      <w:pPr>
        <w:autoSpaceDE w:val="false"/>
        <w:autoSpaceDN w:val="false"/>
        <w:adjustRightInd w:val="false"/>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a:graphicData uri="http://schemas.openxmlformats.org/drawingml/2006/chart">
                <c:chart r:id="rId13"/>
              </a:graphicData>
            </a:graphic>
          </wp:inline>
        </w:drawing>
      </w:r>
    </w:p>
    <w:p>
      <w:pPr>
        <w:widowControl w:val="true"/>
        <w:spacing w:before="0" w:beforeLines="0" w:beforeAutospacing="false" w:after="0" w:afterLines="0" w:afterAutospacing="false" w:line="360" w:lineRule="auto"/>
        <w:ind w:firstLine="200" w:firstLineChars="200"/>
        <w:jc w:val="left"/>
        <w:outlineLvl w:val="1"/>
        <w:rPr>
          <w:rFonts w:ascii="Times New Roman" w:eastAsia="黑体"/>
          <w:sz w:val="32"/>
          <w:szCs w:val="32"/>
        </w:rPr>
      </w:pPr>
      <w:r>
        <w:rPr>
          <w:rFonts w:ascii="Times New Roman" w:eastAsia="黑体"/>
          <w:b w:val="false"/>
          <w:sz w:val="32"/>
          <w:szCs w:val="32"/>
        </w:rPr>
        <w:t>四、财政拨款收入支出决算总体情况说明</w:t>
      </w:r>
    </w:p>
    <w:p>
      <w:pPr>
        <w:widowControl w:val="true"/>
        <w:spacing w:before="0" w:beforeLines="0" w:beforeAutospacing="false" w:after="0" w:afterLines="0" w:afterAutospacing="false" w:line="360" w:lineRule="auto"/>
        <w:ind w:firstLine="200" w:firstLineChars="200"/>
        <w:jc w:val="left"/>
        <w:rPr>
          <w:rFonts w:ascii="Times New Roman" w:eastAsia="楷体_GB2312"/>
          <w:sz w:val="32"/>
          <w:szCs w:val="32"/>
        </w:rPr>
      </w:pPr>
      <w:r>
        <w:rPr>
          <w:rFonts w:ascii="Times New Roman" w:eastAsia="楷体_GB2312"/>
          <w:b w:val="true"/>
          <w:sz w:val="32"/>
          <w:szCs w:val="32"/>
        </w:rPr>
        <w:t>（一）财政拨款收支与</w:t>
      </w:r>
      <w:r>
        <w:rPr>
          <w:rFonts w:ascii="Times New Roman" w:eastAsia="仿宋_GB2312"/>
          <w:b w:val="true"/>
          <w:sz w:val="32"/>
          <w:szCs w:val="32"/>
        </w:rPr>
        <w:t>2024</w:t>
      </w:r>
      <w:r>
        <w:rPr>
          <w:rFonts w:ascii="Times New Roman" w:eastAsia="楷体_GB2312"/>
          <w:b w:val="true"/>
          <w:sz w:val="32"/>
          <w:szCs w:val="32"/>
        </w:rPr>
        <w:t>年度决算对比情况</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2025年度财政拨款收、支总计（含结转和结余）均为</w:t>
      </w:r>
      <w:r>
        <w:rPr>
          <w:rFonts w:ascii="Times New Roman" w:eastAsia="仿宋_GB2312"/>
          <w:b w:val="false"/>
          <w:sz w:val="32"/>
          <w:szCs w:val="32"/>
        </w:rPr>
        <w:t>2,255.93</w:t>
      </w:r>
      <w:r>
        <w:rPr>
          <w:rFonts w:ascii="Times New Roman" w:eastAsia="仿宋_GB2312"/>
          <w:b w:val="false"/>
          <w:sz w:val="32"/>
          <w:szCs w:val="32"/>
        </w:rPr>
        <w:t>万元。与2024年度相比，财政拨款收支各</w:t>
      </w:r>
      <w:r>
        <w:rPr>
          <w:rFonts w:ascii="Times New Roman" w:eastAsia="仿宋_GB2312"/>
          <w:b w:val="false"/>
          <w:sz w:val="32"/>
          <w:szCs w:val="32"/>
        </w:rPr>
        <w:t>增加</w:t>
      </w:r>
      <w:r>
        <w:rPr>
          <w:rFonts w:ascii="Times New Roman" w:eastAsia="仿宋_GB2312"/>
          <w:b w:val="false"/>
          <w:sz w:val="32"/>
          <w:szCs w:val="32"/>
        </w:rPr>
        <w:t>1,289.46</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133.4</w:t>
      </w:r>
      <w:r>
        <w:rPr>
          <w:rFonts w:ascii="Times New Roman" w:eastAsia="仿宋_GB2312"/>
          <w:b w:val="false"/>
          <w:sz w:val="32"/>
          <w:szCs w:val="32"/>
        </w:rPr>
        <w:t>%，主要原因是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2025年度财政拨款本年收入</w:t>
      </w:r>
      <w:r>
        <w:rPr>
          <w:rFonts w:ascii="Times New Roman" w:eastAsia="仿宋_GB2312"/>
          <w:b w:val="false"/>
          <w:sz w:val="32"/>
          <w:szCs w:val="32"/>
        </w:rPr>
        <w:t>2,255.93</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1,289.46</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133.4</w:t>
      </w:r>
      <w:r>
        <w:rPr>
          <w:rFonts w:ascii="Times New Roman" w:eastAsia="仿宋_GB2312"/>
          <w:b w:val="false"/>
          <w:sz w:val="32"/>
          <w:szCs w:val="32"/>
        </w:rPr>
        <w:t>%，主要原因是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；本年支出 </w:t>
      </w:r>
      <w:r>
        <w:rPr>
          <w:rFonts w:ascii="Times New Roman" w:eastAsia="仿宋_GB2312"/>
          <w:b w:val="false"/>
          <w:sz w:val="32"/>
          <w:szCs w:val="32"/>
        </w:rPr>
        <w:t>2,255.93</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1,289.46</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133.4</w:t>
      </w:r>
      <w:r>
        <w:rPr>
          <w:rFonts w:ascii="Times New Roman" w:eastAsia="仿宋_GB2312"/>
          <w:b w:val="false"/>
          <w:sz w:val="32"/>
          <w:szCs w:val="32"/>
        </w:rPr>
        <w:t>%，主要原因是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。具体情况如下：</w:t>
      </w:r>
    </w:p>
    <w:p>
      <w:pPr>
        <w:widowControl w:val="true"/>
        <w:spacing w:before="0" w:beforeLines="0" w:beforeAutospacing="false" w:after="0" w:afterLines="0" w:afterAutospacing="false" w:line="360" w:lineRule="auto"/>
        <w:ind w:firstLine="200" w:firstLineChars="200"/>
        <w:jc w:val="left"/>
        <w:outlineLvl w:val="1"/>
        <w:rPr>
          <w:rFonts w:ascii="Times New Roman" w:eastAsia="仿宋_GB2312"/>
          <w:sz w:val="32"/>
          <w:szCs w:val="32"/>
        </w:rPr>
      </w:pPr>
      <w:r>
        <w:rPr>
          <w:rFonts w:ascii="Times New Roman" w:eastAsia="仿宋_GB2312"/>
          <w:b w:val="false"/>
          <w:sz w:val="32"/>
          <w:szCs w:val="32"/>
        </w:rPr>
        <w:t>1. 一般公共预算财政拨款本年收入</w:t>
      </w:r>
      <w:r>
        <w:rPr>
          <w:rFonts w:ascii="Times New Roman" w:eastAsia="仿宋_GB2312"/>
          <w:b w:val="false"/>
          <w:sz w:val="32"/>
          <w:szCs w:val="32"/>
        </w:rPr>
        <w:t>2,098.41</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1,163.26</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124.4</w:t>
      </w:r>
      <w:r>
        <w:rPr>
          <w:rFonts w:ascii="Times New Roman" w:eastAsia="仿宋_GB2312"/>
          <w:b w:val="false"/>
          <w:sz w:val="32"/>
          <w:szCs w:val="32"/>
        </w:rPr>
        <w:t>%，主要原因是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；本年支出</w:t>
      </w:r>
      <w:r>
        <w:rPr>
          <w:rFonts w:ascii="Times New Roman" w:eastAsia="仿宋_GB2312"/>
          <w:b w:val="false"/>
          <w:sz w:val="32"/>
          <w:szCs w:val="32"/>
        </w:rPr>
        <w:t>2,098.41</w:t>
      </w:r>
      <w:r>
        <w:rPr>
          <w:rFonts w:ascii="Times New Roman" w:eastAsia="仿宋_GB2312"/>
          <w:b w:val="false"/>
          <w:sz w:val="32"/>
          <w:szCs w:val="32"/>
        </w:rPr>
        <w:t> 万元，比上年</w:t>
      </w:r>
      <w:r>
        <w:rPr>
          <w:rFonts w:ascii="Times New Roman" w:eastAsia="仿宋_GB2312"/>
          <w:b w:val="false"/>
          <w:sz w:val="32"/>
          <w:szCs w:val="32"/>
        </w:rPr>
        <w:t>增加</w:t>
      </w:r>
      <w:r>
        <w:rPr>
          <w:rFonts w:ascii="Times New Roman" w:eastAsia="仿宋_GB2312"/>
          <w:b w:val="false"/>
          <w:sz w:val="32"/>
          <w:szCs w:val="32"/>
        </w:rPr>
        <w:t>1,163.26</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124.4</w:t>
      </w:r>
      <w:r>
        <w:rPr>
          <w:rFonts w:ascii="Times New Roman" w:eastAsia="仿宋_GB2312"/>
          <w:b w:val="false"/>
          <w:sz w:val="32"/>
          <w:szCs w:val="32"/>
        </w:rPr>
        <w:t>%，主要原因是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2. 政府性基金预算财政拨款本年收入</w:t>
      </w:r>
      <w:r>
        <w:rPr>
          <w:rFonts w:ascii="Times New Roman" w:eastAsia="仿宋_GB2312"/>
          <w:b w:val="false"/>
          <w:sz w:val="32"/>
          <w:szCs w:val="32"/>
        </w:rPr>
        <w:t>157.52</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126.20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402.9</w:t>
      </w:r>
      <w:r>
        <w:rPr>
          <w:rFonts w:ascii="Times New Roman" w:eastAsia="仿宋_GB2312"/>
          <w:b w:val="false"/>
          <w:sz w:val="32"/>
          <w:szCs w:val="32"/>
        </w:rPr>
        <w:t>%，主要原因是</w:t>
      </w:r>
      <w:r>
        <w:rPr>
          <w:rFonts w:ascii="Times New Roman" w:eastAsia="仿宋_GB2312"/>
          <w:b w:val="false"/>
          <w:sz w:val="32"/>
          <w:szCs w:val="32"/>
        </w:rPr>
        <w:t>增加了殷村镇元大线两侧面貌提升政治项目、殷村镇主干道违建拆除、杂草清理等项目</w:t>
      </w:r>
      <w:r>
        <w:rPr>
          <w:rFonts w:ascii="Times New Roman" w:eastAsia="仿宋_GB2312"/>
          <w:b w:val="false"/>
          <w:sz w:val="32"/>
          <w:szCs w:val="32"/>
        </w:rPr>
        <w:t>；本年支出</w:t>
      </w:r>
      <w:r>
        <w:rPr>
          <w:rFonts w:ascii="Times New Roman" w:eastAsia="仿宋_GB2312"/>
          <w:b w:val="false"/>
          <w:sz w:val="32"/>
          <w:szCs w:val="32"/>
        </w:rPr>
        <w:t>157.52</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126.20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402.9</w:t>
      </w:r>
      <w:r>
        <w:rPr>
          <w:rFonts w:ascii="Times New Roman" w:eastAsia="仿宋_GB2312"/>
          <w:b w:val="false"/>
          <w:sz w:val="32"/>
          <w:szCs w:val="32"/>
        </w:rPr>
        <w:t>%，主要原因是</w:t>
      </w:r>
      <w:r>
        <w:rPr>
          <w:rFonts w:ascii="Times New Roman" w:eastAsia="仿宋_GB2312"/>
          <w:b w:val="false"/>
          <w:sz w:val="32"/>
          <w:szCs w:val="32"/>
        </w:rPr>
        <w:t>增加了殷村镇元大线两侧面貌提升政治项目、殷村镇主干道违建拆除、杂草清理等项目</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3. 国有资本经营预算财政拨款本年收入</w:t>
      </w:r>
      <w:r>
        <w:rPr>
          <w:rFonts w:ascii="Times New Roman" w:eastAsia="仿宋_GB2312"/>
          <w:b w:val="false"/>
          <w:sz w:val="32"/>
          <w:szCs w:val="32"/>
        </w:rPr>
        <w:t>0.00</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0.00</w:t>
      </w:r>
      <w:r>
        <w:rPr>
          <w:rFonts w:ascii="Times New Roman" w:eastAsia="仿宋_GB2312"/>
          <w:b w:val="false"/>
          <w:sz w:val="32"/>
          <w:szCs w:val="32"/>
        </w:rPr>
        <w:t>%，主要原因是</w:t>
      </w:r>
      <w:r>
        <w:rPr>
          <w:rFonts w:ascii="Times New Roman" w:eastAsia="仿宋_GB2312"/>
          <w:b w:val="false"/>
          <w:sz w:val="32"/>
          <w:szCs w:val="32"/>
        </w:rPr>
        <w:t>无变化</w:t>
      </w:r>
      <w:r>
        <w:rPr>
          <w:rFonts w:ascii="Times New Roman" w:eastAsia="仿宋_GB2312"/>
          <w:b w:val="false"/>
          <w:sz w:val="32"/>
          <w:szCs w:val="32"/>
        </w:rPr>
        <w:t>；本年支出</w:t>
      </w:r>
      <w:r>
        <w:rPr>
          <w:rFonts w:ascii="Times New Roman" w:eastAsia="仿宋_GB2312"/>
          <w:b w:val="false"/>
          <w:sz w:val="32"/>
          <w:szCs w:val="32"/>
        </w:rPr>
        <w:t>0.00</w:t>
      </w:r>
      <w:r>
        <w:rPr>
          <w:rFonts w:ascii="Times New Roman" w:eastAsia="仿宋_GB2312"/>
          <w:b w:val="false"/>
          <w:sz w:val="32"/>
          <w:szCs w:val="32"/>
        </w:rPr>
        <w:t>万元，比上年</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0.00</w:t>
      </w:r>
      <w:r>
        <w:rPr>
          <w:rFonts w:ascii="Times New Roman" w:eastAsia="仿宋_GB2312"/>
          <w:b w:val="false"/>
          <w:sz w:val="32"/>
          <w:szCs w:val="32"/>
        </w:rPr>
        <w:t>%，主要原因是</w:t>
      </w:r>
      <w:r>
        <w:rPr>
          <w:rFonts w:ascii="Times New Roman" w:eastAsia="仿宋_GB2312"/>
          <w:b w:val="false"/>
          <w:sz w:val="32"/>
          <w:szCs w:val="32"/>
        </w:rPr>
        <w:t>无变化</w:t>
      </w:r>
      <w:r>
        <w:rPr>
          <w:rFonts w:ascii="Times New Roman" w:eastAsia="仿宋_GB2312"/>
          <w:b w:val="false"/>
          <w:sz w:val="32"/>
          <w:szCs w:val="32"/>
        </w:rPr>
        <w:t>。</w:t>
      </w:r>
    </w:p>
    <w:p w14:paraId="57375238">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a:graphicData uri="http://schemas.openxmlformats.org/drawingml/2006/chart">
                <c:chart r:id="rId14"/>
              </a:graphicData>
            </a:graphic>
          </wp:inline>
        </w:drawing>
      </w:r>
    </w:p>
    <w:p>
      <w:pPr>
        <w:widowControl w:val="true"/>
        <w:spacing w:before="0" w:beforeLines="0" w:beforeAutospacing="false" w:after="0" w:afterLines="0" w:afterAutospacing="false" w:line="360" w:lineRule="auto"/>
        <w:ind w:firstLine="200" w:firstLineChars="200"/>
        <w:jc w:val="left"/>
        <w:rPr>
          <w:rFonts w:ascii="Times New Roman" w:eastAsia="楷体_GB2312"/>
          <w:sz w:val="32"/>
          <w:szCs w:val="32"/>
        </w:rPr>
      </w:pPr>
      <w:r>
        <w:rPr>
          <w:rFonts w:ascii="Times New Roman" w:eastAsia="楷体_GB2312"/>
          <w:b w:val="true"/>
          <w:sz w:val="32"/>
          <w:szCs w:val="32"/>
        </w:rPr>
        <w:t>（二）财政拨款收支与年初预算数对比情况</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2025年度财政拨款本年收入</w:t>
      </w:r>
      <w:r>
        <w:rPr>
          <w:rFonts w:ascii="Times New Roman" w:eastAsia="仿宋_GB2312"/>
          <w:b w:val="false"/>
          <w:sz w:val="32"/>
          <w:szCs w:val="32"/>
        </w:rPr>
        <w:t>2,255.93</w:t>
      </w:r>
      <w:r>
        <w:rPr>
          <w:rFonts w:ascii="Times New Roman" w:eastAsia="仿宋_GB2312"/>
          <w:b w:val="false"/>
          <w:sz w:val="32"/>
          <w:szCs w:val="32"/>
        </w:rPr>
        <w:t>万元，完成年初预算的</w:t>
      </w:r>
      <w:r>
        <w:rPr>
          <w:rFonts w:ascii="Times New Roman" w:eastAsia="仿宋_GB2312"/>
          <w:b w:val="false"/>
          <w:sz w:val="32"/>
          <w:szCs w:val="32"/>
        </w:rPr>
        <w:t>191.6</w:t>
      </w:r>
      <w:r>
        <w:rPr>
          <w:rFonts w:ascii="Times New Roman" w:eastAsia="仿宋_GB2312"/>
          <w:b w:val="false"/>
          <w:sz w:val="32"/>
          <w:szCs w:val="32"/>
        </w:rPr>
        <w:t>%，比年初预算</w:t>
      </w:r>
      <w:r>
        <w:rPr>
          <w:rFonts w:ascii="Times New Roman" w:eastAsia="仿宋_GB2312"/>
          <w:b w:val="false"/>
          <w:sz w:val="32"/>
          <w:szCs w:val="32"/>
        </w:rPr>
        <w:t>增加</w:t>
      </w:r>
      <w:r>
        <w:rPr>
          <w:rFonts w:ascii="Times New Roman" w:eastAsia="仿宋_GB2312"/>
          <w:b w:val="false"/>
          <w:sz w:val="32"/>
          <w:szCs w:val="32"/>
        </w:rPr>
        <w:t>1,078.65</w:t>
      </w:r>
      <w:r>
        <w:rPr>
          <w:rFonts w:ascii="Times New Roman" w:eastAsia="仿宋_GB2312"/>
          <w:b w:val="false"/>
          <w:sz w:val="32"/>
          <w:szCs w:val="32"/>
        </w:rPr>
        <w:t>万元，决算数</w:t>
      </w:r>
      <w:r>
        <w:rPr>
          <w:rFonts w:ascii="Times New Roman" w:eastAsia="仿宋_GB2312"/>
          <w:b w:val="false"/>
          <w:sz w:val="32"/>
          <w:szCs w:val="32"/>
        </w:rPr>
        <w:t>大于</w:t>
      </w:r>
      <w:r>
        <w:rPr>
          <w:rFonts w:ascii="Times New Roman" w:eastAsia="仿宋_GB2312"/>
          <w:b w:val="false"/>
          <w:sz w:val="32"/>
          <w:szCs w:val="32"/>
        </w:rPr>
        <w:t>预算数主要原因是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；本年支出</w:t>
      </w:r>
      <w:r>
        <w:rPr>
          <w:rFonts w:ascii="Times New Roman" w:eastAsia="仿宋_GB2312"/>
          <w:b w:val="false"/>
          <w:sz w:val="32"/>
          <w:szCs w:val="32"/>
        </w:rPr>
        <w:t>2,255.93</w:t>
      </w:r>
      <w:r>
        <w:rPr>
          <w:rFonts w:ascii="Times New Roman" w:eastAsia="仿宋_GB2312"/>
          <w:b w:val="false"/>
          <w:sz w:val="32"/>
          <w:szCs w:val="32"/>
        </w:rPr>
        <w:t>万元，完成年初预算的</w:t>
      </w:r>
      <w:r>
        <w:rPr>
          <w:rFonts w:ascii="Times New Roman" w:eastAsia="仿宋_GB2312"/>
          <w:b w:val="false"/>
          <w:sz w:val="32"/>
          <w:szCs w:val="32"/>
        </w:rPr>
        <w:t>191.6</w:t>
      </w:r>
      <w:r>
        <w:rPr>
          <w:rFonts w:ascii="Times New Roman" w:eastAsia="仿宋_GB2312"/>
          <w:b w:val="false"/>
          <w:sz w:val="32"/>
          <w:szCs w:val="32"/>
        </w:rPr>
        <w:t>%，比年初预算</w:t>
      </w:r>
      <w:r>
        <w:rPr>
          <w:rFonts w:ascii="Times New Roman" w:eastAsia="仿宋_GB2312"/>
          <w:b w:val="false"/>
          <w:sz w:val="32"/>
          <w:szCs w:val="32"/>
        </w:rPr>
        <w:t>增加</w:t>
      </w:r>
      <w:r>
        <w:rPr>
          <w:rFonts w:ascii="Times New Roman" w:eastAsia="仿宋_GB2312"/>
          <w:b w:val="false"/>
          <w:sz w:val="32"/>
          <w:szCs w:val="32"/>
        </w:rPr>
        <w:t>1,078.65</w:t>
      </w:r>
      <w:r>
        <w:rPr>
          <w:rFonts w:ascii="Times New Roman" w:eastAsia="仿宋_GB2312"/>
          <w:b w:val="false"/>
          <w:sz w:val="32"/>
          <w:szCs w:val="32"/>
        </w:rPr>
        <w:t>万元，决算数</w:t>
      </w:r>
      <w:r>
        <w:rPr>
          <w:rFonts w:ascii="Times New Roman" w:eastAsia="仿宋_GB2312"/>
          <w:b w:val="false"/>
          <w:sz w:val="32"/>
          <w:szCs w:val="32"/>
        </w:rPr>
        <w:t>大于</w:t>
      </w:r>
      <w:r>
        <w:rPr>
          <w:rFonts w:ascii="Times New Roman" w:eastAsia="仿宋_GB2312"/>
          <w:b w:val="false"/>
          <w:sz w:val="32"/>
          <w:szCs w:val="32"/>
        </w:rPr>
        <w:t>预算数主要原因是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。具体情况如下：</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1. 一般公共预算财政拨款本年收入完成年初预算的</w:t>
      </w:r>
      <w:r>
        <w:rPr>
          <w:rFonts w:ascii="Times New Roman" w:eastAsia="仿宋_GB2312"/>
          <w:b w:val="false"/>
          <w:sz w:val="32"/>
          <w:szCs w:val="32"/>
        </w:rPr>
        <w:t>225.6</w:t>
      </w:r>
      <w:r>
        <w:rPr>
          <w:rFonts w:ascii="Times New Roman" w:eastAsia="仿宋_GB2312"/>
          <w:b w:val="false"/>
          <w:sz w:val="32"/>
          <w:szCs w:val="32"/>
        </w:rPr>
        <w:t> %，比年初预算</w:t>
      </w:r>
      <w:r>
        <w:rPr>
          <w:rFonts w:ascii="Times New Roman" w:eastAsia="仿宋_GB2312"/>
          <w:b w:val="false"/>
          <w:sz w:val="32"/>
          <w:szCs w:val="32"/>
        </w:rPr>
        <w:t>增加</w:t>
      </w:r>
      <w:r>
        <w:rPr>
          <w:rFonts w:ascii="Times New Roman" w:eastAsia="仿宋_GB2312"/>
          <w:b w:val="false"/>
          <w:sz w:val="32"/>
          <w:szCs w:val="32"/>
        </w:rPr>
        <w:t>1,168.13</w:t>
      </w:r>
      <w:r>
        <w:rPr>
          <w:rFonts w:ascii="Times New Roman" w:eastAsia="仿宋_GB2312"/>
          <w:b w:val="false"/>
          <w:sz w:val="32"/>
          <w:szCs w:val="32"/>
        </w:rPr>
        <w:t>万元，主要原因是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；支出完成年初预算的</w:t>
      </w:r>
      <w:r>
        <w:rPr>
          <w:rFonts w:ascii="Times New Roman" w:eastAsia="仿宋_GB2312"/>
          <w:b w:val="false"/>
          <w:sz w:val="32"/>
          <w:szCs w:val="32"/>
        </w:rPr>
        <w:t>225.6</w:t>
      </w:r>
      <w:r>
        <w:rPr>
          <w:rFonts w:ascii="Times New Roman" w:eastAsia="仿宋_GB2312"/>
          <w:b w:val="false"/>
          <w:sz w:val="32"/>
          <w:szCs w:val="32"/>
        </w:rPr>
        <w:t>%，比年初预算</w:t>
      </w:r>
      <w:r>
        <w:rPr>
          <w:rFonts w:ascii="Times New Roman" w:eastAsia="仿宋_GB2312"/>
          <w:b w:val="false"/>
          <w:sz w:val="32"/>
          <w:szCs w:val="32"/>
        </w:rPr>
        <w:t>增加</w:t>
      </w:r>
      <w:r>
        <w:rPr>
          <w:rFonts w:ascii="Times New Roman" w:eastAsia="仿宋_GB2312"/>
          <w:b w:val="false"/>
          <w:sz w:val="32"/>
          <w:szCs w:val="32"/>
        </w:rPr>
        <w:t>1,168.13</w:t>
      </w:r>
      <w:r>
        <w:rPr>
          <w:rFonts w:ascii="Times New Roman" w:eastAsia="仿宋_GB2312"/>
          <w:b w:val="false"/>
          <w:sz w:val="32"/>
          <w:szCs w:val="32"/>
        </w:rPr>
        <w:t>万元，主要原因是</w:t>
      </w:r>
      <w:r>
        <w:rPr>
          <w:rFonts w:ascii="Times New Roman" w:eastAsia="仿宋_GB2312"/>
          <w:b w:val="false"/>
          <w:sz w:val="32"/>
          <w:szCs w:val="32"/>
        </w:rPr>
        <w:t>增加了改厕工程款和殷村镇片区环境提升项目等</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2. 政府性基金预算财政拨款本年收入完成年初预算的</w:t>
      </w:r>
      <w:r>
        <w:rPr>
          <w:rFonts w:ascii="Times New Roman" w:eastAsia="仿宋_GB2312"/>
          <w:b w:val="false"/>
          <w:sz w:val="32"/>
          <w:szCs w:val="32"/>
        </w:rPr>
        <w:t>63.8</w:t>
      </w:r>
      <w:r>
        <w:rPr>
          <w:rFonts w:ascii="Times New Roman" w:eastAsia="仿宋_GB2312"/>
          <w:b w:val="false"/>
          <w:sz w:val="32"/>
          <w:szCs w:val="32"/>
        </w:rPr>
        <w:t>%，比年初预算</w:t>
      </w:r>
      <w:r>
        <w:rPr>
          <w:rFonts w:ascii="Times New Roman" w:eastAsia="仿宋_GB2312"/>
          <w:b w:val="false"/>
          <w:sz w:val="32"/>
          <w:szCs w:val="32"/>
        </w:rPr>
        <w:t>减少</w:t>
      </w:r>
      <w:r>
        <w:rPr>
          <w:rFonts w:ascii="Times New Roman" w:eastAsia="仿宋_GB2312"/>
          <w:b w:val="false"/>
          <w:sz w:val="32"/>
          <w:szCs w:val="32"/>
        </w:rPr>
        <w:t>89.48</w:t>
      </w:r>
      <w:r>
        <w:rPr>
          <w:rFonts w:ascii="Times New Roman" w:eastAsia="仿宋_GB2312"/>
          <w:b w:val="false"/>
          <w:sz w:val="32"/>
          <w:szCs w:val="32"/>
        </w:rPr>
        <w:t>万元，主要原因是</w:t>
      </w:r>
      <w:r>
        <w:rPr>
          <w:rFonts w:ascii="Times New Roman" w:eastAsia="仿宋_GB2312"/>
          <w:b w:val="false"/>
          <w:sz w:val="32"/>
          <w:szCs w:val="32"/>
        </w:rPr>
        <w:t>人居环境支出和基础设施建设等项目</w:t>
      </w:r>
      <w:r>
        <w:rPr>
          <w:rFonts w:ascii="Times New Roman" w:eastAsia="仿宋_GB2312"/>
          <w:b w:val="false"/>
          <w:sz w:val="32"/>
          <w:szCs w:val="32"/>
        </w:rPr>
        <w:t>；支出完成年初预算的</w:t>
      </w:r>
      <w:r>
        <w:rPr>
          <w:rFonts w:ascii="Times New Roman" w:eastAsia="仿宋_GB2312"/>
          <w:b w:val="false"/>
          <w:sz w:val="32"/>
          <w:szCs w:val="32"/>
        </w:rPr>
        <w:t>63.8</w:t>
      </w:r>
      <w:r>
        <w:rPr>
          <w:rFonts w:ascii="Times New Roman" w:eastAsia="仿宋_GB2312"/>
          <w:b w:val="false"/>
          <w:sz w:val="32"/>
          <w:szCs w:val="32"/>
        </w:rPr>
        <w:t>%，比年初预算</w:t>
      </w:r>
      <w:r>
        <w:rPr>
          <w:rFonts w:ascii="Times New Roman" w:eastAsia="仿宋_GB2312"/>
          <w:b w:val="false"/>
          <w:sz w:val="32"/>
          <w:szCs w:val="32"/>
        </w:rPr>
        <w:t>减少</w:t>
      </w:r>
      <w:r>
        <w:rPr>
          <w:rFonts w:ascii="Times New Roman" w:eastAsia="仿宋_GB2312"/>
          <w:b w:val="false"/>
          <w:sz w:val="32"/>
          <w:szCs w:val="32"/>
        </w:rPr>
        <w:t>89.48</w:t>
      </w:r>
      <w:r>
        <w:rPr>
          <w:rFonts w:ascii="Times New Roman" w:eastAsia="仿宋_GB2312"/>
          <w:b w:val="false"/>
          <w:sz w:val="32"/>
          <w:szCs w:val="32"/>
        </w:rPr>
        <w:t>万元，主要原因是</w:t>
      </w:r>
      <w:r>
        <w:rPr>
          <w:rFonts w:ascii="Times New Roman" w:eastAsia="仿宋_GB2312"/>
          <w:b w:val="false"/>
          <w:sz w:val="32"/>
          <w:szCs w:val="32"/>
        </w:rPr>
        <w:t>人居环境支出和基础设施建设等项目</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3. 国有资本经营预算财政拨款本年收入完成年初预算的</w:t>
      </w:r>
      <w:r>
        <w:rPr>
          <w:rFonts w:ascii="Times New Roman" w:eastAsia="仿宋_GB2312"/>
          <w:b w:val="false"/>
          <w:sz w:val="32"/>
          <w:szCs w:val="32"/>
        </w:rPr>
        <w:t>0.0</w:t>
      </w:r>
      <w:r>
        <w:rPr>
          <w:rFonts w:ascii="Times New Roman" w:eastAsia="仿宋_GB2312"/>
          <w:b w:val="false"/>
          <w:sz w:val="32"/>
          <w:szCs w:val="32"/>
        </w:rPr>
        <w:t>%，比年初预算</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万元，主要原因是</w:t>
      </w:r>
      <w:r>
        <w:rPr>
          <w:rFonts w:ascii="Times New Roman" w:eastAsia="仿宋_GB2312"/>
          <w:b w:val="false"/>
          <w:sz w:val="32"/>
          <w:szCs w:val="32"/>
        </w:rPr>
        <w:t>无变化</w:t>
      </w:r>
      <w:r>
        <w:rPr>
          <w:rFonts w:ascii="Times New Roman" w:eastAsia="仿宋_GB2312"/>
          <w:b w:val="false"/>
          <w:sz w:val="32"/>
          <w:szCs w:val="32"/>
        </w:rPr>
        <w:t>；支出完成年初预算的</w:t>
      </w:r>
      <w:r>
        <w:rPr>
          <w:rFonts w:ascii="Times New Roman" w:eastAsia="仿宋_GB2312"/>
          <w:b w:val="false"/>
          <w:sz w:val="32"/>
          <w:szCs w:val="32"/>
        </w:rPr>
        <w:t>0.0</w:t>
      </w:r>
      <w:r>
        <w:rPr>
          <w:rFonts w:ascii="Times New Roman" w:eastAsia="仿宋_GB2312"/>
          <w:b w:val="false"/>
          <w:sz w:val="32"/>
          <w:szCs w:val="32"/>
        </w:rPr>
        <w:t>%，比年初预算</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万元，主要原因是</w:t>
      </w:r>
      <w:r>
        <w:rPr>
          <w:rFonts w:ascii="Times New Roman" w:eastAsia="仿宋_GB2312"/>
          <w:b w:val="false"/>
          <w:sz w:val="32"/>
          <w:szCs w:val="32"/>
        </w:rPr>
        <w:t>无变化</w:t>
      </w:r>
      <w:r>
        <w:rPr>
          <w:rFonts w:ascii="Times New Roman" w:eastAsia="仿宋_GB2312"/>
          <w:b w:val="false"/>
          <w:sz w:val="32"/>
          <w:szCs w:val="32"/>
        </w:rPr>
        <w:t>。</w:t>
      </w:r>
    </w:p>
    <w:p w14:paraId="5BE36D14">
      <w:pPr>
        <w:pStyle w:val="10"/>
        <w:keepNext w:val="false"/>
        <w:keepLines w:val="false"/>
        <w:widowControl/>
        <w:suppressLineNumbers w:val="false"/>
        <w:pBdr>
          <w:top w:val="none" w:color="auto" w:sz="0" w:space="0"/>
          <w:left w:val="none" w:color="auto" w:sz="0" w:space="0"/>
          <w:bottom w:val="none" w:color="auto" w:sz="0" w:space="0"/>
          <w:right w:val="none" w:color="auto" w:sz="0" w:space="0"/>
        </w:pBdr>
        <w:spacing w:before="0" w:beforeAutospacing="false" w:after="0" w:afterAutospacing="false"/>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a:graphicData uri="http://schemas.openxmlformats.org/drawingml/2006/chart">
                <c:chart r:id="rId15"/>
              </a:graphicData>
            </a:graphic>
          </wp:inline>
        </w:drawing>
      </w:r>
    </w:p>
    <w:p>
      <w:pPr>
        <w:widowControl w:val="true"/>
        <w:spacing w:before="0" w:beforeLines="0" w:beforeAutospacing="false" w:after="0" w:afterLines="0" w:afterAutospacing="false" w:line="360" w:lineRule="auto"/>
        <w:ind w:firstLine="200" w:firstLineChars="200"/>
        <w:jc w:val="left"/>
        <w:rPr>
          <w:rFonts w:ascii="Times New Roman" w:eastAsia="楷体_GB2312"/>
          <w:sz w:val="32"/>
          <w:szCs w:val="32"/>
        </w:rPr>
      </w:pPr>
      <w:r>
        <w:rPr>
          <w:rFonts w:ascii="Times New Roman" w:eastAsia="楷体_GB2312"/>
          <w:b w:val="true"/>
          <w:sz w:val="32"/>
          <w:szCs w:val="32"/>
        </w:rPr>
        <w:t>（三）财政拨款支出决算结构情况</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2025年度财政拨款支出</w:t>
      </w:r>
      <w:r>
        <w:rPr>
          <w:rFonts w:ascii="Times New Roman" w:eastAsia="仿宋_GB2312"/>
          <w:b w:val="false"/>
          <w:sz w:val="32"/>
          <w:szCs w:val="32"/>
        </w:rPr>
        <w:t>2,255.93</w:t>
      </w:r>
      <w:r>
        <w:rPr>
          <w:rFonts w:ascii="Times New Roman" w:eastAsia="仿宋_GB2312"/>
          <w:b w:val="false"/>
          <w:sz w:val="32"/>
          <w:szCs w:val="32"/>
        </w:rPr>
        <w:t>万元，主要用于以下方面：</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一般公共预算财政拨款支出：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一般公共服务（类）支出</w:t>
      </w:r>
      <w:r>
        <w:rPr>
          <w:rFonts w:ascii="Times New Roman" w:eastAsia="仿宋_GB2312"/>
          <w:b w:val="false"/>
          <w:sz w:val="32"/>
          <w:szCs w:val="32"/>
        </w:rPr>
        <w:t>605.70</w:t>
      </w:r>
      <w:r>
        <w:rPr>
          <w:rFonts w:ascii="Times New Roman" w:eastAsia="仿宋_GB2312"/>
          <w:b w:val="false"/>
          <w:sz w:val="32"/>
          <w:szCs w:val="32"/>
        </w:rPr>
        <w:t>万元，占</w:t>
      </w:r>
      <w:r>
        <w:rPr>
          <w:rFonts w:ascii="Times New Roman" w:eastAsia="仿宋_GB2312"/>
          <w:b w:val="false"/>
          <w:sz w:val="32"/>
          <w:szCs w:val="32"/>
        </w:rPr>
        <w:t>26.8</w:t>
      </w:r>
      <w:r>
        <w:rPr>
          <w:rFonts w:ascii="Times New Roman" w:eastAsia="仿宋_GB2312"/>
          <w:b w:val="false"/>
          <w:sz w:val="32"/>
          <w:szCs w:val="32"/>
        </w:rPr>
        <w:t>%，主要用于</w:t>
      </w:r>
      <w:r>
        <w:rPr>
          <w:rFonts w:ascii="Times New Roman" w:eastAsia="仿宋_GB2312"/>
          <w:b w:val="false"/>
          <w:sz w:val="32"/>
          <w:szCs w:val="32"/>
        </w:rPr>
        <w:t>人 员经费、乡镇经费</w:t>
      </w:r>
      <w:r>
        <w:rPr>
          <w:rFonts w:ascii="Times New Roman" w:eastAsia="仿宋_GB2312"/>
          <w:b w:val="false"/>
          <w:sz w:val="32"/>
          <w:szCs w:val="32"/>
        </w:rPr>
        <w:t>等支出；外交（类）支出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等支出；国防（类）支出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等支出；公共安全类（类）支出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等支出；教育（类）支出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等支出；科学技术（类）支出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等支出；文化旅游体育与传媒（类）支出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等支出；社会保障和就业 （类）支出</w:t>
      </w:r>
      <w:r>
        <w:rPr>
          <w:rFonts w:ascii="Times New Roman" w:eastAsia="仿宋_GB2312"/>
          <w:b w:val="false"/>
          <w:sz w:val="32"/>
          <w:szCs w:val="32"/>
        </w:rPr>
        <w:t>56.25</w:t>
      </w:r>
      <w:r>
        <w:rPr>
          <w:rFonts w:ascii="Times New Roman" w:eastAsia="仿宋_GB2312"/>
          <w:b w:val="false"/>
          <w:sz w:val="32"/>
          <w:szCs w:val="32"/>
        </w:rPr>
        <w:t>万元，占</w:t>
      </w:r>
      <w:r>
        <w:rPr>
          <w:rFonts w:ascii="Times New Roman" w:eastAsia="仿宋_GB2312"/>
          <w:b w:val="false"/>
          <w:sz w:val="32"/>
          <w:szCs w:val="32"/>
        </w:rPr>
        <w:t>2.5</w:t>
      </w:r>
      <w:r>
        <w:rPr>
          <w:rFonts w:ascii="Times New Roman" w:eastAsia="仿宋_GB2312"/>
          <w:b w:val="false"/>
          <w:sz w:val="32"/>
          <w:szCs w:val="32"/>
        </w:rPr>
        <w:t>%，主要用于</w:t>
      </w:r>
      <w:r>
        <w:rPr>
          <w:rFonts w:ascii="Times New Roman" w:eastAsia="仿宋_GB2312"/>
          <w:b w:val="false"/>
          <w:sz w:val="32"/>
          <w:szCs w:val="32"/>
        </w:rPr>
        <w:t>养老保险</w:t>
      </w:r>
      <w:r>
        <w:rPr>
          <w:rFonts w:ascii="Times New Roman" w:eastAsia="仿宋_GB2312"/>
          <w:b w:val="false"/>
          <w:sz w:val="32"/>
          <w:szCs w:val="32"/>
        </w:rPr>
        <w:t>等支出；卫生健康（类）支出</w:t>
      </w:r>
      <w:r>
        <w:rPr>
          <w:rFonts w:ascii="Times New Roman" w:eastAsia="仿宋_GB2312"/>
          <w:b w:val="false"/>
          <w:sz w:val="32"/>
          <w:szCs w:val="32"/>
        </w:rPr>
        <w:t>28.08</w:t>
      </w:r>
      <w:r>
        <w:rPr>
          <w:rFonts w:ascii="Times New Roman" w:eastAsia="仿宋_GB2312"/>
          <w:b w:val="false"/>
          <w:sz w:val="32"/>
          <w:szCs w:val="32"/>
        </w:rPr>
        <w:t>万元，占</w:t>
      </w:r>
      <w:r>
        <w:rPr>
          <w:rFonts w:ascii="Times New Roman" w:eastAsia="仿宋_GB2312"/>
          <w:b w:val="false"/>
          <w:sz w:val="32"/>
          <w:szCs w:val="32"/>
        </w:rPr>
        <w:t>1.2</w:t>
      </w:r>
      <w:r>
        <w:rPr>
          <w:rFonts w:ascii="Times New Roman" w:eastAsia="仿宋_GB2312"/>
          <w:b w:val="false"/>
          <w:sz w:val="32"/>
          <w:szCs w:val="32"/>
        </w:rPr>
        <w:t>%，主要用于</w:t>
      </w:r>
      <w:r>
        <w:rPr>
          <w:rFonts w:ascii="Times New Roman" w:eastAsia="仿宋_GB2312"/>
          <w:b w:val="false"/>
          <w:sz w:val="32"/>
          <w:szCs w:val="32"/>
        </w:rPr>
        <w:t>医疗保险</w:t>
      </w:r>
      <w:r>
        <w:rPr>
          <w:rFonts w:ascii="Times New Roman" w:eastAsia="仿宋_GB2312"/>
          <w:b w:val="false"/>
          <w:sz w:val="32"/>
          <w:szCs w:val="32"/>
        </w:rPr>
        <w:t>等支出；节能环保（类）支出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等支出；城乡社区（类）支出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等支出；农林水（类）支出</w:t>
      </w:r>
      <w:r>
        <w:rPr>
          <w:rFonts w:ascii="Times New Roman" w:eastAsia="仿宋_GB2312"/>
          <w:b w:val="false"/>
          <w:sz w:val="32"/>
          <w:szCs w:val="32"/>
        </w:rPr>
        <w:t>1,364.51</w:t>
      </w:r>
      <w:r>
        <w:rPr>
          <w:rFonts w:ascii="Times New Roman" w:eastAsia="仿宋_GB2312"/>
          <w:b w:val="false"/>
          <w:sz w:val="32"/>
          <w:szCs w:val="32"/>
        </w:rPr>
        <w:t>万元，占</w:t>
      </w:r>
      <w:r>
        <w:rPr>
          <w:rFonts w:ascii="Times New Roman" w:eastAsia="仿宋_GB2312"/>
          <w:b w:val="false"/>
          <w:sz w:val="32"/>
          <w:szCs w:val="32"/>
        </w:rPr>
        <w:t>60.5</w:t>
      </w:r>
      <w:r>
        <w:rPr>
          <w:rFonts w:ascii="Times New Roman" w:eastAsia="仿宋_GB2312"/>
          <w:b w:val="false"/>
          <w:sz w:val="32"/>
          <w:szCs w:val="32"/>
        </w:rPr>
        <w:t>%，主要用于</w:t>
      </w:r>
      <w:r>
        <w:rPr>
          <w:rFonts w:ascii="Times New Roman" w:eastAsia="仿宋_GB2312"/>
          <w:b w:val="false"/>
          <w:sz w:val="32"/>
          <w:szCs w:val="32"/>
        </w:rPr>
        <w:t>村级经费、村干部报酬、基础设施建设</w:t>
      </w:r>
      <w:r>
        <w:rPr>
          <w:rFonts w:ascii="Times New Roman" w:eastAsia="仿宋_GB2312"/>
          <w:b w:val="false"/>
          <w:sz w:val="32"/>
          <w:szCs w:val="32"/>
        </w:rPr>
        <w:t>等支出；交通运输（类）支出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等支出；资源勘探信息等（类）支出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等支出；商业服务业等（类）支出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等支出；金融（类）支出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等支出；援助其他地区（类）支出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等支出；自然资源海洋气象等（类）支出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等支出；住房保障（类）支出</w:t>
      </w:r>
      <w:r>
        <w:rPr>
          <w:rFonts w:ascii="Times New Roman" w:eastAsia="仿宋_GB2312"/>
          <w:b w:val="false"/>
          <w:sz w:val="32"/>
          <w:szCs w:val="32"/>
        </w:rPr>
        <w:t>43.87</w:t>
      </w:r>
      <w:r>
        <w:rPr>
          <w:rFonts w:ascii="Times New Roman" w:eastAsia="仿宋_GB2312"/>
          <w:b w:val="false"/>
          <w:sz w:val="32"/>
          <w:szCs w:val="32"/>
        </w:rPr>
        <w:t>万元，占</w:t>
      </w:r>
      <w:r>
        <w:rPr>
          <w:rFonts w:ascii="Times New Roman" w:eastAsia="仿宋_GB2312"/>
          <w:b w:val="false"/>
          <w:sz w:val="32"/>
          <w:szCs w:val="32"/>
        </w:rPr>
        <w:t>1.9</w:t>
      </w:r>
      <w:r>
        <w:rPr>
          <w:rFonts w:ascii="Times New Roman" w:eastAsia="仿宋_GB2312"/>
          <w:b w:val="false"/>
          <w:sz w:val="32"/>
          <w:szCs w:val="32"/>
        </w:rPr>
        <w:t>%，主要用于</w:t>
      </w:r>
      <w:r>
        <w:rPr>
          <w:rFonts w:ascii="Times New Roman" w:eastAsia="仿宋_GB2312"/>
          <w:b w:val="false"/>
          <w:sz w:val="32"/>
          <w:szCs w:val="32"/>
        </w:rPr>
        <w:t>住房公积金</w:t>
      </w:r>
      <w:r>
        <w:rPr>
          <w:rFonts w:ascii="Times New Roman" w:eastAsia="仿宋_GB2312"/>
          <w:b w:val="false"/>
          <w:sz w:val="32"/>
          <w:szCs w:val="32"/>
        </w:rPr>
        <w:t>等支出；粮油物资储备（类）支出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等支出；国有资本经营预算支出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等支出；灾害防治及应急管理（类）支出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等支出；其他（类）支出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等支出；债务还本（类）支出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等支出；债务付息（类）支出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等支出；抗疫特别国债安排的支出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政府性基金预算财政拨款支出：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一般公共服务（类）支出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等支出；外交（类）支出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等支出；国防（类）支出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等支出；公共安全类（类）支出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等支出；教育（类）支出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等支出；科学技术（类）支出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等支出；文化旅游体育与传媒（类）支出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等支出；社会保障和就业 （类）支出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等支出；卫生健康（类）支出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等支出；节能环保（类）支出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等支出；城乡社区（类）支出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等支出；农林水（类）支出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等支出；交通运输（类）支出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等支出；资源勘探信息等（类）支出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等支出；商业服务业等（类）支出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等支出；金融（类）支出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等支出；援助其他地区（类）支出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等支出；自然资源海洋气象等（类）支出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等支出；住房保障（类）支出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等支出；粮油物资储备（类）支出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等支出；国有资本经营预算支出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等支出；灾害防治及应急管理（类）支出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等支出；其他（类）支出</w:t>
      </w:r>
      <w:r>
        <w:rPr>
          <w:rFonts w:ascii="Times New Roman" w:eastAsia="仿宋_GB2312"/>
          <w:b w:val="false"/>
          <w:sz w:val="32"/>
          <w:szCs w:val="32"/>
        </w:rPr>
        <w:t>157.52</w:t>
      </w:r>
      <w:r>
        <w:rPr>
          <w:rFonts w:ascii="Times New Roman" w:eastAsia="仿宋_GB2312"/>
          <w:b w:val="false"/>
          <w:sz w:val="32"/>
          <w:szCs w:val="32"/>
        </w:rPr>
        <w:t>万元，占</w:t>
      </w:r>
      <w:r>
        <w:rPr>
          <w:rFonts w:ascii="Times New Roman" w:eastAsia="仿宋_GB2312"/>
          <w:b w:val="false"/>
          <w:sz w:val="32"/>
          <w:szCs w:val="32"/>
        </w:rPr>
        <w:t>7.0</w:t>
      </w:r>
      <w:r>
        <w:rPr>
          <w:rFonts w:ascii="Times New Roman" w:eastAsia="仿宋_GB2312"/>
          <w:b w:val="false"/>
          <w:sz w:val="32"/>
          <w:szCs w:val="32"/>
        </w:rPr>
        <w:t>%，主要用于</w:t>
      </w:r>
      <w:r>
        <w:rPr>
          <w:rFonts w:ascii="Times New Roman" w:eastAsia="仿宋_GB2312"/>
          <w:b w:val="false"/>
          <w:sz w:val="32"/>
          <w:szCs w:val="32"/>
        </w:rPr>
        <w:t>基础设施建设</w:t>
      </w:r>
      <w:r>
        <w:rPr>
          <w:rFonts w:ascii="Times New Roman" w:eastAsia="仿宋_GB2312"/>
          <w:b w:val="false"/>
          <w:sz w:val="32"/>
          <w:szCs w:val="32"/>
        </w:rPr>
        <w:t>等支出；债务还本（类）支出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等支出；债务付息（类）支出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等支出；抗疫特别国债安排的支出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国有资本经营预算财政拨款支出：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一般公共服务（类）支出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等支出；外交（类）支出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等支出；国防（类）支出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等支出；公共安全（类）支出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等支出；教育（类）支出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等支出；科学技术（类）支出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等支出；文化旅游体育与传媒（类）支出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等支出；社会保障和就业 （类）支出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等支出；卫生健康（类）支出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等支出；节能环保（类）支出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等支出；城乡社区（类）支出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等支出；农林水（类）支出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等支出；交通运输（类）支出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等支出；资源勘探信息等（类）支出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等支出；商业服务业等（类）支出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等支出；金融（类）支出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等支出；援助其他地区（类）支出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等支出；自然资源海洋气象等（类）支出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等支出；住房保障（类）支出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等支出；粮油物资储备（类）支出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等支出；国有资本经营预算支出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等支出；灾害防治及应急管理（类）支出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等支出；其他（类）支出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等支出；债务还本（类）支出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等支出；债务付息（类）支出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等支出；抗疫特别国债安排的支出</w:t>
      </w:r>
      <w:r>
        <w:rPr>
          <w:rFonts w:ascii="Times New Roman" w:eastAsia="仿宋_GB2312"/>
          <w:b w:val="false"/>
          <w:sz w:val="32"/>
          <w:szCs w:val="32"/>
        </w:rPr>
        <w:t>0.00</w:t>
      </w:r>
      <w:r>
        <w:rPr>
          <w:rFonts w:ascii="Times New Roman" w:eastAsia="仿宋_GB2312"/>
          <w:b w:val="false"/>
          <w:sz w:val="32"/>
          <w:szCs w:val="32"/>
        </w:rPr>
        <w:t>万元，占</w:t>
      </w:r>
      <w:r>
        <w:rPr>
          <w:rFonts w:ascii="Times New Roman" w:eastAsia="仿宋_GB2312"/>
          <w:b w:val="false"/>
          <w:sz w:val="32"/>
          <w:szCs w:val="32"/>
        </w:rPr>
        <w:t>0.0</w:t>
      </w:r>
      <w:r>
        <w:rPr>
          <w:rFonts w:ascii="Times New Roman" w:eastAsia="仿宋_GB2312"/>
          <w:b w:val="false"/>
          <w:sz w:val="32"/>
          <w:szCs w:val="32"/>
        </w:rPr>
        <w:t>%，主要用于</w:t>
      </w:r>
      <w:r>
        <w:rPr>
          <w:rFonts w:ascii="Times New Roman" w:eastAsia="仿宋_GB2312"/>
          <w:b w:val="false"/>
          <w:sz w:val="32"/>
          <w:szCs w:val="32"/>
        </w:rPr>
        <w:t/>
      </w:r>
      <w:r>
        <w:rPr>
          <w:rFonts w:ascii="Times New Roman" w:eastAsia="仿宋_GB2312"/>
          <w:b w:val="false"/>
          <w:sz w:val="32"/>
          <w:szCs w:val="32"/>
        </w:rPr>
        <w:t>等支出。</w:t>
      </w:r>
    </w:p>
    <w:p>
      <w:pPr>
        <w:widowControl w:val="true"/>
        <w:spacing w:before="0" w:beforeLines="0" w:beforeAutospacing="false" w:after="0" w:afterLines="0" w:afterAutospacing="false" w:line="360" w:lineRule="auto"/>
        <w:ind w:firstLine="200" w:firstLineChars="200"/>
        <w:jc w:val="left"/>
        <w:rPr>
          <w:rFonts w:ascii="Times New Roman" w:eastAsia="楷体_GB2312"/>
          <w:sz w:val="32"/>
          <w:szCs w:val="32"/>
        </w:rPr>
      </w:pPr>
      <w:r>
        <w:rPr>
          <w:rFonts w:ascii="Times New Roman" w:eastAsia="楷体_GB2312"/>
          <w:b w:val="true"/>
          <w:sz w:val="32"/>
          <w:szCs w:val="32"/>
        </w:rPr>
        <w:t>（四）一般公共预算财政拨款基本支出决算情况说明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2025年度财政拨款基本支出</w:t>
      </w:r>
      <w:r>
        <w:rPr>
          <w:rFonts w:ascii="Times New Roman" w:eastAsia="仿宋_GB2312"/>
          <w:b w:val="false"/>
          <w:sz w:val="32"/>
          <w:szCs w:val="32"/>
        </w:rPr>
        <w:t>591.11</w:t>
      </w:r>
      <w:r>
        <w:rPr>
          <w:rFonts w:ascii="Times New Roman" w:eastAsia="仿宋_GB2312"/>
          <w:b w:val="false"/>
          <w:sz w:val="32"/>
          <w:szCs w:val="32"/>
        </w:rPr>
        <w:t>万元，其中：</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人员经费</w:t>
      </w:r>
      <w:r>
        <w:rPr>
          <w:rFonts w:ascii="Times New Roman" w:eastAsia="仿宋_GB2312"/>
          <w:b w:val="false"/>
          <w:sz w:val="32"/>
          <w:szCs w:val="32"/>
        </w:rPr>
        <w:t>535.11</w:t>
      </w:r>
      <w:r>
        <w:rPr>
          <w:rFonts w:ascii="Times New Roman" w:eastAsia="仿宋_GB2312"/>
          <w:b w:val="false"/>
          <w:sz w:val="32"/>
          <w:szCs w:val="32"/>
        </w:rPr>
        <w:t>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公用经费</w:t>
      </w:r>
      <w:r>
        <w:rPr>
          <w:rFonts w:ascii="Times New Roman" w:eastAsia="仿宋_GB2312"/>
          <w:b w:val="false"/>
          <w:sz w:val="32"/>
          <w:szCs w:val="32"/>
        </w:rPr>
        <w:t>55.99</w:t>
      </w:r>
      <w:r>
        <w:rPr>
          <w:rFonts w:ascii="Times New Roman" w:eastAsia="仿宋_GB2312"/>
          <w:b w:val="false"/>
          <w:sz w:val="32"/>
          <w:szCs w:val="32"/>
        </w:rPr>
        <w:t>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val="true"/>
        <w:spacing w:before="0" w:beforeLines="0" w:beforeAutospacing="false" w:after="0" w:afterLines="0" w:afterAutospacing="false" w:line="360" w:lineRule="auto"/>
        <w:ind w:firstLine="200" w:firstLineChars="200"/>
        <w:jc w:val="left"/>
        <w:outlineLvl w:val="1"/>
        <w:rPr>
          <w:rFonts w:ascii="Times New Roman" w:eastAsia="黑体"/>
          <w:sz w:val="32"/>
          <w:szCs w:val="32"/>
        </w:rPr>
      </w:pPr>
      <w:r>
        <w:rPr>
          <w:rFonts w:ascii="Times New Roman" w:eastAsia="黑体"/>
          <w:b w:val="false"/>
          <w:sz w:val="32"/>
          <w:szCs w:val="32"/>
        </w:rPr>
        <w:t>五、财政拨款“三公” 经费支出决算情况说明</w:t>
      </w:r>
    </w:p>
    <w:p>
      <w:pPr>
        <w:widowControl w:val="true"/>
        <w:spacing w:before="0" w:beforeLines="0" w:beforeAutospacing="false" w:after="0" w:afterLines="0" w:afterAutospacing="false" w:line="360" w:lineRule="auto"/>
        <w:ind w:firstLine="200" w:firstLineChars="200"/>
        <w:jc w:val="left"/>
        <w:rPr>
          <w:rFonts w:ascii="Times New Roman" w:eastAsia="楷体_GB2312"/>
          <w:sz w:val="32"/>
          <w:szCs w:val="32"/>
        </w:rPr>
      </w:pPr>
      <w:r>
        <w:rPr>
          <w:rFonts w:ascii="Times New Roman" w:eastAsia="楷体_GB2312"/>
          <w:b w:val="true"/>
          <w:sz w:val="32"/>
          <w:szCs w:val="32"/>
        </w:rPr>
        <w:t>（一）“三公”经费财政拨款支出决算总体情况说明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2025年度“三公”经费财政拨款支出预算为</w:t>
      </w:r>
      <w:r>
        <w:rPr>
          <w:rFonts w:ascii="Times New Roman" w:eastAsia="仿宋_GB2312"/>
          <w:b w:val="false"/>
          <w:sz w:val="32"/>
          <w:szCs w:val="32"/>
        </w:rPr>
        <w:t>2.60</w:t>
      </w:r>
      <w:r>
        <w:rPr>
          <w:rFonts w:ascii="Times New Roman" w:eastAsia="仿宋_GB2312"/>
          <w:b w:val="false"/>
          <w:sz w:val="32"/>
          <w:szCs w:val="32"/>
        </w:rPr>
        <w:t>万元，支出决算为 </w:t>
      </w:r>
      <w:r>
        <w:rPr>
          <w:rFonts w:ascii="Times New Roman" w:eastAsia="仿宋_GB2312"/>
          <w:b w:val="false"/>
          <w:sz w:val="32"/>
          <w:szCs w:val="32"/>
        </w:rPr>
        <w:t>0.89</w:t>
      </w:r>
      <w:r>
        <w:rPr>
          <w:rFonts w:ascii="Times New Roman" w:eastAsia="仿宋_GB2312"/>
          <w:b w:val="false"/>
          <w:sz w:val="32"/>
          <w:szCs w:val="32"/>
        </w:rPr>
        <w:t>万元，完成预算的 </w:t>
      </w:r>
      <w:r>
        <w:rPr>
          <w:rFonts w:ascii="Times New Roman" w:eastAsia="仿宋_GB2312"/>
          <w:b w:val="false"/>
          <w:sz w:val="32"/>
          <w:szCs w:val="32"/>
        </w:rPr>
        <w:t>34.2</w:t>
      </w:r>
      <w:r>
        <w:rPr>
          <w:rFonts w:ascii="Times New Roman" w:eastAsia="仿宋_GB2312"/>
          <w:b w:val="false"/>
          <w:sz w:val="32"/>
          <w:szCs w:val="32"/>
        </w:rPr>
        <w:t>%，较预算</w:t>
      </w:r>
      <w:r>
        <w:rPr>
          <w:rFonts w:ascii="Times New Roman" w:eastAsia="仿宋_GB2312"/>
          <w:b w:val="false"/>
          <w:sz w:val="32"/>
          <w:szCs w:val="32"/>
        </w:rPr>
        <w:t>减少</w:t>
      </w:r>
      <w:r>
        <w:rPr>
          <w:rFonts w:ascii="Times New Roman" w:eastAsia="仿宋_GB2312"/>
          <w:b w:val="false"/>
          <w:sz w:val="32"/>
          <w:szCs w:val="32"/>
        </w:rPr>
        <w:t>1.71</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65.8</w:t>
      </w:r>
      <w:r>
        <w:rPr>
          <w:rFonts w:ascii="Times New Roman" w:eastAsia="仿宋_GB2312"/>
          <w:b w:val="false"/>
          <w:sz w:val="32"/>
          <w:szCs w:val="32"/>
        </w:rPr>
        <w:t>%，主要原因是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；较2024年度决算</w:t>
      </w:r>
      <w:r>
        <w:rPr>
          <w:rFonts w:ascii="Times New Roman" w:eastAsia="仿宋_GB2312"/>
          <w:b w:val="false"/>
          <w:sz w:val="32"/>
          <w:szCs w:val="32"/>
        </w:rPr>
        <w:t>减少</w:t>
      </w:r>
      <w:r>
        <w:rPr>
          <w:rFonts w:ascii="Times New Roman" w:eastAsia="仿宋_GB2312"/>
          <w:b w:val="false"/>
          <w:sz w:val="32"/>
          <w:szCs w:val="32"/>
        </w:rPr>
        <w:t>1.71</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65.8</w:t>
      </w:r>
      <w:r>
        <w:rPr>
          <w:rFonts w:ascii="Times New Roman" w:eastAsia="仿宋_GB2312"/>
          <w:b w:val="false"/>
          <w:sz w:val="32"/>
          <w:szCs w:val="32"/>
        </w:rPr>
        <w:t>%，主要原因是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楷体_GB2312"/>
          <w:sz w:val="32"/>
          <w:szCs w:val="32"/>
        </w:rPr>
      </w:pPr>
      <w:r>
        <w:rPr>
          <w:rFonts w:ascii="Times New Roman" w:eastAsia="楷体_GB2312"/>
          <w:b w:val="true"/>
          <w:sz w:val="32"/>
          <w:szCs w:val="32"/>
        </w:rPr>
        <w:t>（二）“三公”经费财政拨款支出决算具体情况说明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楷体_GB2312"/>
          <w:b w:val="true"/>
          <w:sz w:val="32"/>
          <w:szCs w:val="32"/>
        </w:rPr>
        <w:t>1.因公出国（境）费支出情况。</w:t>
      </w:r>
      <w:r>
        <w:rPr>
          <w:rFonts w:ascii="Times New Roman" w:eastAsia="仿宋_GB2312"/>
          <w:b w:val="false"/>
          <w:sz w:val="32"/>
          <w:szCs w:val="32"/>
        </w:rPr>
        <w:t>本单位</w:t>
      </w:r>
      <w:r>
        <w:rPr>
          <w:rFonts w:ascii="Times New Roman" w:eastAsia="仿宋_GB2312"/>
          <w:b w:val="false"/>
          <w:sz w:val="32"/>
          <w:szCs w:val="32"/>
        </w:rPr>
        <w:t>2025年度因公出国（境）费支出预算为</w:t>
      </w:r>
      <w:r>
        <w:rPr>
          <w:rFonts w:ascii="Times New Roman" w:eastAsia="仿宋_GB2312"/>
          <w:b w:val="false"/>
          <w:sz w:val="32"/>
          <w:szCs w:val="32"/>
        </w:rPr>
        <w:t>0.00</w:t>
      </w:r>
      <w:r>
        <w:rPr>
          <w:rFonts w:ascii="Times New Roman" w:eastAsia="仿宋_GB2312"/>
          <w:b w:val="false"/>
          <w:sz w:val="32"/>
          <w:szCs w:val="32"/>
        </w:rPr>
        <w:t>万元,支出决算</w:t>
      </w:r>
      <w:r>
        <w:rPr>
          <w:rFonts w:ascii="Times New Roman" w:eastAsia="仿宋_GB2312"/>
          <w:b w:val="false"/>
          <w:sz w:val="32"/>
          <w:szCs w:val="32"/>
        </w:rPr>
        <w:t>0.00</w:t>
      </w:r>
      <w:r>
        <w:rPr>
          <w:rFonts w:ascii="Times New Roman" w:eastAsia="仿宋_GB2312"/>
          <w:b w:val="false"/>
          <w:sz w:val="32"/>
          <w:szCs w:val="32"/>
        </w:rPr>
        <w:t>万元。完成预算的</w:t>
      </w:r>
      <w:r>
        <w:rPr>
          <w:rFonts w:ascii="Times New Roman" w:eastAsia="仿宋_GB2312"/>
          <w:b w:val="false"/>
          <w:sz w:val="32"/>
          <w:szCs w:val="32"/>
        </w:rPr>
        <w:t>0.0</w:t>
      </w:r>
      <w:r>
        <w:rPr>
          <w:rFonts w:ascii="Times New Roman" w:eastAsia="仿宋_GB2312"/>
          <w:b w:val="false"/>
          <w:sz w:val="32"/>
          <w:szCs w:val="32"/>
        </w:rPr>
        <w:t>%。因公出国（境）费支出较预算</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w:t>
      </w:r>
      <w:r>
        <w:rPr>
          <w:rFonts w:ascii="Times New Roman" w:eastAsia="仿宋_GB2312"/>
          <w:b w:val="false"/>
          <w:sz w:val="32"/>
          <w:szCs w:val="32"/>
        </w:rPr>
        <w:t>%,主要原因是</w:t>
      </w:r>
      <w:r>
        <w:rPr>
          <w:rFonts w:ascii="Times New Roman" w:eastAsia="仿宋_GB2312"/>
          <w:b w:val="false"/>
          <w:sz w:val="32"/>
          <w:szCs w:val="32"/>
        </w:rPr>
        <w:t/>
      </w:r>
      <w:r>
        <w:rPr>
          <w:rFonts w:ascii="Times New Roman" w:eastAsia="仿宋_GB2312"/>
          <w:b w:val="false"/>
          <w:sz w:val="32"/>
          <w:szCs w:val="32"/>
        </w:rPr>
        <w:t>；较上年</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0.00</w:t>
      </w:r>
      <w:r>
        <w:rPr>
          <w:rFonts w:ascii="Times New Roman" w:eastAsia="仿宋_GB2312"/>
          <w:b w:val="false"/>
          <w:sz w:val="32"/>
          <w:szCs w:val="32"/>
        </w:rPr>
        <w:t>%,主要原因是</w:t>
      </w:r>
      <w:r>
        <w:rPr>
          <w:rFonts w:ascii="Times New Roman" w:eastAsia="仿宋_GB2312"/>
          <w:b w:val="false"/>
          <w:sz w:val="32"/>
          <w:szCs w:val="32"/>
        </w:rPr>
        <w:t/>
      </w:r>
      <w:r>
        <w:rPr>
          <w:rFonts w:ascii="Times New Roman" w:eastAsia="仿宋_GB2312"/>
          <w:b w:val="false"/>
          <w:sz w:val="32"/>
          <w:szCs w:val="32"/>
        </w:rPr>
        <w:t>。因公出国（境）团组</w:t>
      </w:r>
      <w:r>
        <w:rPr>
          <w:rFonts w:ascii="Times New Roman" w:eastAsia="仿宋_GB2312"/>
          <w:b w:val="false"/>
          <w:sz w:val="32"/>
          <w:szCs w:val="32"/>
        </w:rPr>
        <w:t>0</w:t>
      </w:r>
      <w:r>
        <w:rPr>
          <w:rFonts w:ascii="Times New Roman" w:eastAsia="仿宋_GB2312"/>
          <w:b w:val="false"/>
          <w:sz w:val="32"/>
          <w:szCs w:val="32"/>
        </w:rPr>
        <w:t>个、共</w:t>
      </w:r>
      <w:r>
        <w:rPr>
          <w:rFonts w:ascii="Times New Roman" w:eastAsia="仿宋_GB2312"/>
          <w:b w:val="false"/>
          <w:sz w:val="32"/>
          <w:szCs w:val="32"/>
        </w:rPr>
        <w:t>0</w:t>
      </w:r>
      <w:r>
        <w:rPr>
          <w:rFonts w:ascii="Times New Roman" w:eastAsia="仿宋_GB2312"/>
          <w:b w:val="false"/>
          <w:sz w:val="32"/>
          <w:szCs w:val="32"/>
        </w:rPr>
        <w:t>人、参加其他单位组织的因公出国（境）团组</w:t>
      </w:r>
      <w:r>
        <w:rPr>
          <w:rFonts w:ascii="Times New Roman" w:eastAsia="仿宋_GB2312"/>
          <w:b w:val="false"/>
          <w:sz w:val="32"/>
          <w:szCs w:val="32"/>
        </w:rPr>
        <w:t/>
      </w:r>
      <w:r>
        <w:rPr>
          <w:rFonts w:ascii="Times New Roman" w:eastAsia="仿宋_GB2312"/>
          <w:b w:val="false"/>
          <w:sz w:val="32"/>
          <w:szCs w:val="32"/>
        </w:rPr>
        <w:t>个、共</w:t>
      </w:r>
      <w:r>
        <w:rPr>
          <w:rFonts w:ascii="Times New Roman" w:eastAsia="仿宋_GB2312"/>
          <w:b w:val="false"/>
          <w:sz w:val="32"/>
          <w:szCs w:val="32"/>
        </w:rPr>
        <w:t/>
      </w:r>
      <w:r>
        <w:rPr>
          <w:rFonts w:ascii="Times New Roman" w:eastAsia="仿宋_GB2312"/>
          <w:b w:val="false"/>
          <w:sz w:val="32"/>
          <w:szCs w:val="32"/>
        </w:rPr>
        <w:t>人/无本部门组织的出国（境）团组。</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楷体_GB2312"/>
          <w:b w:val="true"/>
          <w:sz w:val="32"/>
          <w:szCs w:val="32"/>
        </w:rPr>
        <w:t>2.公务用车购置及运行维护费支出情况。</w:t>
      </w:r>
      <w:r>
        <w:rPr>
          <w:rFonts w:ascii="Times New Roman" w:eastAsia="仿宋_GB2312"/>
          <w:b w:val="false"/>
          <w:sz w:val="32"/>
          <w:szCs w:val="32"/>
        </w:rPr>
        <w:t>本单位</w:t>
      </w:r>
      <w:r>
        <w:rPr>
          <w:rFonts w:ascii="Times New Roman" w:eastAsia="仿宋_GB2312"/>
          <w:b w:val="false"/>
          <w:sz w:val="32"/>
          <w:szCs w:val="32"/>
        </w:rPr>
        <w:t>2025年度公务用车购置及运行维护费预算为</w:t>
      </w:r>
      <w:r>
        <w:rPr>
          <w:rFonts w:ascii="Times New Roman" w:eastAsia="仿宋_GB2312"/>
          <w:b w:val="false"/>
          <w:sz w:val="32"/>
          <w:szCs w:val="32"/>
        </w:rPr>
        <w:t>2.60</w:t>
      </w:r>
      <w:r>
        <w:rPr>
          <w:rFonts w:ascii="Times New Roman" w:eastAsia="仿宋_GB2312"/>
          <w:b w:val="false"/>
          <w:sz w:val="32"/>
          <w:szCs w:val="32"/>
        </w:rPr>
        <w:t>万元，支出决算 </w:t>
      </w:r>
      <w:r>
        <w:rPr>
          <w:rFonts w:ascii="Times New Roman" w:eastAsia="仿宋_GB2312"/>
          <w:b w:val="false"/>
          <w:sz w:val="32"/>
          <w:szCs w:val="32"/>
        </w:rPr>
        <w:t>0.89</w:t>
      </w:r>
      <w:r>
        <w:rPr>
          <w:rFonts w:ascii="Times New Roman" w:eastAsia="仿宋_GB2312"/>
          <w:b w:val="false"/>
          <w:sz w:val="32"/>
          <w:szCs w:val="32"/>
        </w:rPr>
        <w:t>万元，完成预算的</w:t>
      </w:r>
      <w:r>
        <w:rPr>
          <w:rFonts w:ascii="Times New Roman" w:eastAsia="仿宋_GB2312"/>
          <w:b w:val="false"/>
          <w:sz w:val="32"/>
          <w:szCs w:val="32"/>
        </w:rPr>
        <w:t>34.2</w:t>
      </w:r>
      <w:r>
        <w:rPr>
          <w:rFonts w:ascii="Times New Roman" w:eastAsia="仿宋_GB2312"/>
          <w:b w:val="false"/>
          <w:sz w:val="32"/>
          <w:szCs w:val="32"/>
        </w:rPr>
        <w:t>%,较预算</w:t>
      </w:r>
      <w:r>
        <w:rPr>
          <w:rFonts w:ascii="Times New Roman" w:eastAsia="仿宋_GB2312"/>
          <w:b w:val="false"/>
          <w:sz w:val="32"/>
          <w:szCs w:val="32"/>
        </w:rPr>
        <w:t>减少</w:t>
      </w:r>
      <w:r>
        <w:rPr>
          <w:rFonts w:ascii="Times New Roman" w:eastAsia="仿宋_GB2312"/>
          <w:b w:val="false"/>
          <w:sz w:val="32"/>
          <w:szCs w:val="32"/>
        </w:rPr>
        <w:t>1.71</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65.8</w:t>
      </w:r>
      <w:r>
        <w:rPr>
          <w:rFonts w:ascii="Times New Roman" w:eastAsia="仿宋_GB2312"/>
          <w:b w:val="false"/>
          <w:sz w:val="32"/>
          <w:szCs w:val="32"/>
        </w:rPr>
        <w:t>%,主要原因是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；较上年</w:t>
      </w:r>
      <w:r>
        <w:rPr>
          <w:rFonts w:ascii="Times New Roman" w:eastAsia="仿宋_GB2312"/>
          <w:b w:val="false"/>
          <w:sz w:val="32"/>
          <w:szCs w:val="32"/>
        </w:rPr>
        <w:t>减少</w:t>
      </w:r>
      <w:r>
        <w:rPr>
          <w:rFonts w:ascii="Times New Roman" w:eastAsia="仿宋_GB2312"/>
          <w:b w:val="false"/>
          <w:sz w:val="32"/>
          <w:szCs w:val="32"/>
        </w:rPr>
        <w:t>1.71</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65.8</w:t>
      </w:r>
      <w:r>
        <w:rPr>
          <w:rFonts w:ascii="Times New Roman" w:eastAsia="仿宋_GB2312"/>
          <w:b w:val="false"/>
          <w:sz w:val="32"/>
          <w:szCs w:val="32"/>
        </w:rPr>
        <w:t>%,主要原因是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。其中：</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公务用车购置费支出</w:t>
      </w:r>
      <w:r>
        <w:rPr>
          <w:rFonts w:ascii="Times New Roman" w:eastAsia="仿宋_GB2312"/>
          <w:b w:val="true"/>
          <w:sz w:val="32"/>
          <w:szCs w:val="32"/>
        </w:rPr>
        <w:t>0.00</w:t>
      </w:r>
      <w:r>
        <w:rPr>
          <w:rFonts w:ascii="Times New Roman" w:eastAsia="仿宋_GB2312"/>
          <w:b w:val="true"/>
          <w:sz w:val="32"/>
          <w:szCs w:val="32"/>
        </w:rPr>
        <w:t>万元：</w:t>
      </w:r>
      <w:r>
        <w:rPr>
          <w:rFonts w:ascii="Times New Roman" w:eastAsia="仿宋_GB2312"/>
          <w:b w:val="false"/>
          <w:sz w:val="32"/>
          <w:szCs w:val="32"/>
        </w:rPr>
        <w:t>本单位</w:t>
      </w:r>
      <w:r>
        <w:rPr>
          <w:rFonts w:ascii="Times New Roman" w:eastAsia="仿宋_GB2312"/>
          <w:b w:val="false"/>
          <w:sz w:val="32"/>
          <w:szCs w:val="32"/>
        </w:rPr>
        <w:t>2025年度公务用车购置量</w:t>
      </w:r>
      <w:r>
        <w:rPr>
          <w:rFonts w:ascii="Times New Roman" w:eastAsia="仿宋_GB2312"/>
          <w:b w:val="false"/>
          <w:sz w:val="32"/>
          <w:szCs w:val="32"/>
        </w:rPr>
        <w:t>0</w:t>
      </w:r>
      <w:r>
        <w:rPr>
          <w:rFonts w:ascii="Times New Roman" w:eastAsia="仿宋_GB2312"/>
          <w:b w:val="false"/>
          <w:sz w:val="32"/>
          <w:szCs w:val="32"/>
        </w:rPr>
        <w:t>辆，发生“公务用车购置”经费支出</w:t>
      </w:r>
      <w:r>
        <w:rPr>
          <w:rFonts w:ascii="Times New Roman" w:eastAsia="仿宋_GB2312"/>
          <w:b w:val="false"/>
          <w:sz w:val="32"/>
          <w:szCs w:val="32"/>
        </w:rPr>
        <w:t>0.00</w:t>
      </w:r>
      <w:r>
        <w:rPr>
          <w:rFonts w:ascii="Times New Roman" w:eastAsia="仿宋_GB2312"/>
          <w:b w:val="false"/>
          <w:sz w:val="32"/>
          <w:szCs w:val="32"/>
        </w:rPr>
        <w:t>万元。公务用车购置费支出较预算</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w:t>
      </w:r>
      <w:r>
        <w:rPr>
          <w:rFonts w:ascii="Times New Roman" w:eastAsia="仿宋_GB2312"/>
          <w:b w:val="false"/>
          <w:sz w:val="32"/>
          <w:szCs w:val="32"/>
        </w:rPr>
        <w:t>%,主要原因是</w:t>
      </w:r>
      <w:r>
        <w:rPr>
          <w:rFonts w:ascii="Times New Roman" w:eastAsia="仿宋_GB2312"/>
          <w:b w:val="false"/>
          <w:sz w:val="32"/>
          <w:szCs w:val="32"/>
        </w:rPr>
        <w:t/>
      </w:r>
      <w:r>
        <w:rPr>
          <w:rFonts w:ascii="Times New Roman" w:eastAsia="仿宋_GB2312"/>
          <w:b w:val="false"/>
          <w:sz w:val="32"/>
          <w:szCs w:val="32"/>
        </w:rPr>
        <w:t>；较上年</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0.00</w:t>
      </w:r>
      <w:r>
        <w:rPr>
          <w:rFonts w:ascii="Times New Roman" w:eastAsia="仿宋_GB2312"/>
          <w:b w:val="false"/>
          <w:sz w:val="32"/>
          <w:szCs w:val="32"/>
        </w:rPr>
        <w:t>%,主要原因是</w:t>
      </w:r>
      <w:r>
        <w:rPr>
          <w:rFonts w:ascii="Times New Roman" w:eastAsia="仿宋_GB2312"/>
          <w:b w:val="false"/>
          <w:sz w:val="32"/>
          <w:szCs w:val="32"/>
        </w:rPr>
        <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公务用车运行维护费支出</w:t>
      </w:r>
      <w:r>
        <w:rPr>
          <w:rFonts w:ascii="Times New Roman" w:eastAsia="仿宋_GB2312"/>
          <w:b w:val="true"/>
          <w:sz w:val="32"/>
          <w:szCs w:val="32"/>
        </w:rPr>
        <w:t>0.89</w:t>
      </w:r>
      <w:r>
        <w:rPr>
          <w:rFonts w:ascii="Times New Roman" w:eastAsia="仿宋_GB2312"/>
          <w:b w:val="true"/>
          <w:sz w:val="32"/>
          <w:szCs w:val="32"/>
        </w:rPr>
        <w:t>万元：</w:t>
      </w:r>
      <w:r>
        <w:rPr>
          <w:rFonts w:ascii="Times New Roman" w:eastAsia="仿宋_GB2312"/>
          <w:b w:val="false"/>
          <w:sz w:val="32"/>
          <w:szCs w:val="32"/>
        </w:rPr>
        <w:t>本单位</w:t>
      </w:r>
      <w:r>
        <w:rPr>
          <w:rFonts w:ascii="Times New Roman" w:eastAsia="仿宋_GB2312"/>
          <w:b w:val="false"/>
          <w:sz w:val="32"/>
          <w:szCs w:val="32"/>
        </w:rPr>
        <w:t>2025年度单位公务用车保有量</w:t>
      </w:r>
      <w:r>
        <w:rPr>
          <w:rFonts w:ascii="Times New Roman" w:eastAsia="仿宋_GB2312"/>
          <w:b w:val="false"/>
          <w:sz w:val="32"/>
          <w:szCs w:val="32"/>
        </w:rPr>
        <w:t>1</w:t>
      </w:r>
      <w:r>
        <w:rPr>
          <w:rFonts w:ascii="Times New Roman" w:eastAsia="仿宋_GB2312"/>
          <w:b w:val="false"/>
          <w:sz w:val="32"/>
          <w:szCs w:val="32"/>
        </w:rPr>
        <w:t>辆，发生运行维护费支出</w:t>
      </w:r>
      <w:r>
        <w:rPr>
          <w:rFonts w:ascii="Times New Roman" w:eastAsia="仿宋_GB2312"/>
          <w:b w:val="false"/>
          <w:sz w:val="32"/>
          <w:szCs w:val="32"/>
        </w:rPr>
        <w:t>0.89</w:t>
      </w:r>
      <w:r>
        <w:rPr>
          <w:rFonts w:ascii="Times New Roman" w:eastAsia="仿宋_GB2312"/>
          <w:b w:val="false"/>
          <w:sz w:val="32"/>
          <w:szCs w:val="32"/>
        </w:rPr>
        <w:t>万元。公车运行维护费支出较预算</w:t>
      </w:r>
      <w:r>
        <w:rPr>
          <w:rFonts w:ascii="Times New Roman" w:eastAsia="仿宋_GB2312"/>
          <w:b w:val="false"/>
          <w:sz w:val="32"/>
          <w:szCs w:val="32"/>
        </w:rPr>
        <w:t>减少</w:t>
      </w:r>
      <w:r>
        <w:rPr>
          <w:rFonts w:ascii="Times New Roman" w:eastAsia="仿宋_GB2312"/>
          <w:b w:val="false"/>
          <w:sz w:val="32"/>
          <w:szCs w:val="32"/>
        </w:rPr>
        <w:t>1.71</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65.8</w:t>
      </w:r>
      <w:r>
        <w:rPr>
          <w:rFonts w:ascii="Times New Roman" w:eastAsia="仿宋_GB2312"/>
          <w:b w:val="false"/>
          <w:sz w:val="32"/>
          <w:szCs w:val="32"/>
        </w:rPr>
        <w:t>%,主要原因是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；较上年</w:t>
      </w:r>
      <w:r>
        <w:rPr>
          <w:rFonts w:ascii="Times New Roman" w:eastAsia="仿宋_GB2312"/>
          <w:b w:val="false"/>
          <w:sz w:val="32"/>
          <w:szCs w:val="32"/>
        </w:rPr>
        <w:t>减少</w:t>
      </w:r>
      <w:r>
        <w:rPr>
          <w:rFonts w:ascii="Times New Roman" w:eastAsia="仿宋_GB2312"/>
          <w:b w:val="false"/>
          <w:sz w:val="32"/>
          <w:szCs w:val="32"/>
        </w:rPr>
        <w:t>1.71</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65.8</w:t>
      </w:r>
      <w:r>
        <w:rPr>
          <w:rFonts w:ascii="Times New Roman" w:eastAsia="仿宋_GB2312"/>
          <w:b w:val="false"/>
          <w:sz w:val="32"/>
          <w:szCs w:val="32"/>
        </w:rPr>
        <w:t>%，主要原因是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楷体_GB2312"/>
          <w:b w:val="true"/>
          <w:sz w:val="32"/>
          <w:szCs w:val="32"/>
        </w:rPr>
        <w:t>3.公务接待费支出情况。</w:t>
      </w:r>
      <w:r>
        <w:rPr>
          <w:rFonts w:ascii="Times New Roman" w:eastAsia="仿宋_GB2312"/>
          <w:b w:val="false"/>
          <w:sz w:val="32"/>
          <w:szCs w:val="32"/>
        </w:rPr>
        <w:t>本单位</w:t>
      </w:r>
      <w:r>
        <w:rPr>
          <w:rFonts w:ascii="Times New Roman" w:eastAsia="仿宋_GB2312"/>
          <w:b w:val="false"/>
          <w:sz w:val="32"/>
          <w:szCs w:val="32"/>
        </w:rPr>
        <w:t>2025年度公务接待费支出预算为</w:t>
      </w:r>
      <w:r>
        <w:rPr>
          <w:rFonts w:ascii="Times New Roman" w:eastAsia="仿宋_GB2312"/>
          <w:b w:val="false"/>
          <w:sz w:val="32"/>
          <w:szCs w:val="32"/>
        </w:rPr>
        <w:t>0.00</w:t>
      </w:r>
      <w:r>
        <w:rPr>
          <w:rFonts w:ascii="Times New Roman" w:eastAsia="仿宋_GB2312"/>
          <w:b w:val="false"/>
          <w:sz w:val="32"/>
          <w:szCs w:val="32"/>
        </w:rPr>
        <w:t>万元，支出决算</w:t>
      </w:r>
      <w:r>
        <w:rPr>
          <w:rFonts w:ascii="Times New Roman" w:eastAsia="仿宋_GB2312"/>
          <w:b w:val="false"/>
          <w:sz w:val="32"/>
          <w:szCs w:val="32"/>
        </w:rPr>
        <w:t>0.00</w:t>
      </w:r>
      <w:r>
        <w:rPr>
          <w:rFonts w:ascii="Times New Roman" w:eastAsia="仿宋_GB2312"/>
          <w:b w:val="false"/>
          <w:sz w:val="32"/>
          <w:szCs w:val="32"/>
        </w:rPr>
        <w:t>万元，完成预算的</w:t>
      </w:r>
      <w:r>
        <w:rPr>
          <w:rFonts w:ascii="Times New Roman" w:eastAsia="仿宋_GB2312"/>
          <w:b w:val="false"/>
          <w:sz w:val="32"/>
          <w:szCs w:val="32"/>
        </w:rPr>
        <w:t>0.0</w:t>
      </w:r>
      <w:r>
        <w:rPr>
          <w:rFonts w:ascii="Times New Roman" w:eastAsia="仿宋_GB2312"/>
          <w:b w:val="false"/>
          <w:sz w:val="32"/>
          <w:szCs w:val="32"/>
        </w:rPr>
        <w:t>%。公务接待费支出较预算</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w:t>
      </w:r>
      <w:r>
        <w:rPr>
          <w:rFonts w:ascii="Times New Roman" w:eastAsia="仿宋_GB2312"/>
          <w:b w:val="false"/>
          <w:sz w:val="32"/>
          <w:szCs w:val="32"/>
        </w:rPr>
        <w:t>%,主要原因是</w:t>
      </w:r>
      <w:r>
        <w:rPr>
          <w:rFonts w:ascii="Times New Roman" w:eastAsia="仿宋_GB2312"/>
          <w:b w:val="false"/>
          <w:sz w:val="32"/>
          <w:szCs w:val="32"/>
        </w:rPr>
        <w:t/>
      </w:r>
      <w:r>
        <w:rPr>
          <w:rFonts w:ascii="Times New Roman" w:eastAsia="仿宋_GB2312"/>
          <w:b w:val="false"/>
          <w:sz w:val="32"/>
          <w:szCs w:val="32"/>
        </w:rPr>
        <w:t>；较上年度</w:t>
      </w:r>
      <w:r>
        <w:rPr>
          <w:rFonts w:ascii="Times New Roman" w:eastAsia="仿宋_GB2312"/>
          <w:b w:val="false"/>
          <w:sz w:val="32"/>
          <w:szCs w:val="32"/>
        </w:rPr>
        <w:t>增加</w:t>
      </w:r>
      <w:r>
        <w:rPr>
          <w:rFonts w:ascii="Times New Roman" w:eastAsia="仿宋_GB2312"/>
          <w:b w:val="false"/>
          <w:sz w:val="32"/>
          <w:szCs w:val="32"/>
        </w:rPr>
        <w:t>0.00</w:t>
      </w:r>
      <w:r>
        <w:rPr>
          <w:rFonts w:ascii="Times New Roman" w:eastAsia="仿宋_GB2312"/>
          <w:b w:val="false"/>
          <w:sz w:val="32"/>
          <w:szCs w:val="32"/>
        </w:rPr>
        <w:t>万元，</w:t>
      </w:r>
      <w:r>
        <w:rPr>
          <w:rFonts w:ascii="Times New Roman" w:eastAsia="仿宋_GB2312"/>
          <w:b w:val="false"/>
          <w:sz w:val="32"/>
          <w:szCs w:val="32"/>
        </w:rPr>
        <w:t>增长</w:t>
      </w:r>
      <w:r>
        <w:rPr>
          <w:rFonts w:ascii="Times New Roman" w:eastAsia="仿宋_GB2312"/>
          <w:b w:val="false"/>
          <w:sz w:val="32"/>
          <w:szCs w:val="32"/>
        </w:rPr>
        <w:t>0.00</w:t>
      </w:r>
      <w:r>
        <w:rPr>
          <w:rFonts w:ascii="Times New Roman" w:eastAsia="仿宋_GB2312"/>
          <w:b w:val="false"/>
          <w:sz w:val="32"/>
          <w:szCs w:val="32"/>
        </w:rPr>
        <w:t>%,主要原因是</w:t>
      </w:r>
      <w:r>
        <w:rPr>
          <w:rFonts w:ascii="Times New Roman" w:eastAsia="仿宋_GB2312"/>
          <w:b w:val="false"/>
          <w:sz w:val="32"/>
          <w:szCs w:val="32"/>
        </w:rPr>
        <w:t/>
      </w:r>
      <w:r>
        <w:rPr>
          <w:rFonts w:ascii="Times New Roman" w:eastAsia="仿宋_GB2312"/>
          <w:b w:val="false"/>
          <w:sz w:val="32"/>
          <w:szCs w:val="32"/>
        </w:rPr>
        <w:t>。本年度共发生公务接待</w:t>
      </w:r>
      <w:r>
        <w:rPr>
          <w:rFonts w:ascii="Times New Roman" w:eastAsia="仿宋_GB2312"/>
          <w:b w:val="false"/>
          <w:sz w:val="32"/>
          <w:szCs w:val="32"/>
        </w:rPr>
        <w:t>0</w:t>
      </w:r>
      <w:r>
        <w:rPr>
          <w:rFonts w:ascii="Times New Roman" w:eastAsia="仿宋_GB2312"/>
          <w:b w:val="false"/>
          <w:sz w:val="32"/>
          <w:szCs w:val="32"/>
        </w:rPr>
        <w:t>批次、</w:t>
      </w:r>
      <w:r>
        <w:rPr>
          <w:rFonts w:ascii="Times New Roman" w:eastAsia="仿宋_GB2312"/>
          <w:b w:val="false"/>
          <w:sz w:val="32"/>
          <w:szCs w:val="32"/>
        </w:rPr>
        <w:t>0</w:t>
      </w:r>
      <w:r>
        <w:rPr>
          <w:rFonts w:ascii="Times New Roman" w:eastAsia="仿宋_GB2312"/>
          <w:b w:val="false"/>
          <w:sz w:val="32"/>
          <w:szCs w:val="32"/>
        </w:rPr>
        <w:t>人次。</w:t>
      </w:r>
    </w:p>
    <w:p>
      <w:pPr>
        <w:widowControl w:val="true"/>
        <w:spacing w:before="0" w:beforeLines="0" w:beforeAutospacing="false" w:after="0" w:afterLines="0" w:afterAutospacing="false" w:line="360" w:lineRule="auto"/>
        <w:ind w:firstLine="200" w:firstLineChars="200"/>
        <w:jc w:val="left"/>
        <w:outlineLvl w:val="1"/>
        <w:rPr>
          <w:rFonts w:ascii="Times New Roman" w:eastAsia="黑体"/>
          <w:sz w:val="32"/>
          <w:szCs w:val="32"/>
        </w:rPr>
      </w:pPr>
      <w:r>
        <w:rPr>
          <w:rFonts w:ascii="Times New Roman" w:eastAsia="黑体"/>
          <w:b w:val="false"/>
          <w:sz w:val="32"/>
          <w:szCs w:val="32"/>
        </w:rPr>
        <w:t>六、机关运行经费支出说明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2025年度机关运行经费支出</w:t>
      </w:r>
      <w:r>
        <w:rPr>
          <w:rFonts w:ascii="Times New Roman" w:eastAsia="仿宋_GB2312"/>
          <w:b w:val="false"/>
          <w:sz w:val="32"/>
          <w:szCs w:val="32"/>
        </w:rPr>
        <w:t>55.99</w:t>
      </w:r>
      <w:r>
        <w:rPr>
          <w:rFonts w:ascii="Times New Roman" w:eastAsia="仿宋_GB2312"/>
          <w:b w:val="false"/>
          <w:sz w:val="32"/>
          <w:szCs w:val="32"/>
        </w:rPr>
        <w:t>万元，较2024年度</w:t>
      </w:r>
      <w:r>
        <w:rPr>
          <w:rFonts w:ascii="Times New Roman" w:eastAsia="仿宋_GB2312"/>
          <w:b w:val="false"/>
          <w:sz w:val="32"/>
          <w:szCs w:val="32"/>
        </w:rPr>
        <w:t>减少</w:t>
      </w:r>
      <w:r>
        <w:rPr>
          <w:rFonts w:ascii="Times New Roman" w:eastAsia="仿宋_GB2312"/>
          <w:b w:val="false"/>
          <w:sz w:val="32"/>
          <w:szCs w:val="32"/>
        </w:rPr>
        <w:t>3.92</w:t>
      </w:r>
      <w:r>
        <w:rPr>
          <w:rFonts w:ascii="Times New Roman" w:eastAsia="仿宋_GB2312"/>
          <w:b w:val="false"/>
          <w:sz w:val="32"/>
          <w:szCs w:val="32"/>
        </w:rPr>
        <w:t>万元，</w:t>
      </w:r>
      <w:r>
        <w:rPr>
          <w:rFonts w:ascii="Times New Roman" w:eastAsia="仿宋_GB2312"/>
          <w:b w:val="false"/>
          <w:sz w:val="32"/>
          <w:szCs w:val="32"/>
        </w:rPr>
        <w:t>降低</w:t>
      </w:r>
      <w:r>
        <w:rPr>
          <w:rFonts w:ascii="Times New Roman" w:eastAsia="仿宋_GB2312"/>
          <w:b w:val="false"/>
          <w:sz w:val="32"/>
          <w:szCs w:val="32"/>
        </w:rPr>
        <w:t>6.6</w:t>
      </w:r>
      <w:r>
        <w:rPr>
          <w:rFonts w:ascii="Times New Roman" w:eastAsia="仿宋_GB2312"/>
          <w:b w:val="false"/>
          <w:sz w:val="32"/>
          <w:szCs w:val="32"/>
        </w:rPr>
        <w:t>%。主要原因是</w:t>
      </w:r>
      <w:r>
        <w:rPr>
          <w:rFonts w:ascii="Times New Roman" w:eastAsia="仿宋_GB2312"/>
          <w:b w:val="false"/>
          <w:sz w:val="32"/>
          <w:szCs w:val="32"/>
        </w:rPr>
        <w:t>福利费减少</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outlineLvl w:val="1"/>
        <w:rPr>
          <w:rFonts w:ascii="Times New Roman" w:eastAsia="黑体"/>
          <w:sz w:val="32"/>
          <w:szCs w:val="32"/>
        </w:rPr>
      </w:pPr>
      <w:r>
        <w:rPr>
          <w:rFonts w:ascii="Times New Roman" w:eastAsia="黑体"/>
          <w:b w:val="false"/>
          <w:sz w:val="32"/>
          <w:szCs w:val="32"/>
        </w:rPr>
        <w:t>七、政府采购支出说明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2025年度政府采购支出总额</w:t>
      </w:r>
      <w:r>
        <w:rPr>
          <w:rFonts w:ascii="Times New Roman" w:eastAsia="仿宋_GB2312"/>
          <w:b w:val="false"/>
          <w:sz w:val="32"/>
          <w:szCs w:val="32"/>
        </w:rPr>
        <w:t>0.00</w:t>
      </w:r>
      <w:r>
        <w:rPr>
          <w:rFonts w:ascii="Times New Roman" w:eastAsia="仿宋_GB2312"/>
          <w:b w:val="false"/>
          <w:sz w:val="32"/>
          <w:szCs w:val="32"/>
        </w:rPr>
        <w:t>万元，从采购类型来看，政府采购货物支出</w:t>
      </w:r>
      <w:r>
        <w:rPr>
          <w:rFonts w:ascii="Times New Roman" w:eastAsia="仿宋_GB2312"/>
          <w:b w:val="false"/>
          <w:sz w:val="32"/>
          <w:szCs w:val="32"/>
        </w:rPr>
        <w:t>0.00</w:t>
      </w:r>
      <w:r>
        <w:rPr>
          <w:rFonts w:ascii="Times New Roman" w:eastAsia="仿宋_GB2312"/>
          <w:b w:val="false"/>
          <w:sz w:val="32"/>
          <w:szCs w:val="32"/>
        </w:rPr>
        <w:t>万元、政府采购工程支出</w:t>
      </w:r>
      <w:r>
        <w:rPr>
          <w:rFonts w:ascii="Times New Roman" w:eastAsia="仿宋_GB2312"/>
          <w:b w:val="false"/>
          <w:sz w:val="32"/>
          <w:szCs w:val="32"/>
        </w:rPr>
        <w:t>0.00</w:t>
      </w:r>
      <w:r>
        <w:rPr>
          <w:rFonts w:ascii="Times New Roman" w:eastAsia="仿宋_GB2312"/>
          <w:b w:val="false"/>
          <w:sz w:val="32"/>
          <w:szCs w:val="32"/>
        </w:rPr>
        <w:t>万元、政府采购服务支出</w:t>
      </w:r>
      <w:r>
        <w:rPr>
          <w:rFonts w:ascii="Times New Roman" w:eastAsia="仿宋_GB2312"/>
          <w:b w:val="false"/>
          <w:sz w:val="32"/>
          <w:szCs w:val="32"/>
        </w:rPr>
        <w:t>0.00</w:t>
      </w:r>
      <w:r>
        <w:rPr>
          <w:rFonts w:ascii="Times New Roman" w:eastAsia="仿宋_GB2312"/>
          <w:b w:val="false"/>
          <w:sz w:val="32"/>
          <w:szCs w:val="32"/>
        </w:rPr>
        <w:t>万元。授予中小企业合同金额</w:t>
      </w:r>
      <w:r>
        <w:rPr>
          <w:rFonts w:ascii="Times New Roman" w:eastAsia="仿宋_GB2312"/>
          <w:b w:val="false"/>
          <w:sz w:val="32"/>
          <w:szCs w:val="32"/>
        </w:rPr>
        <w:t>0.00</w:t>
      </w:r>
      <w:r>
        <w:rPr>
          <w:rFonts w:ascii="Times New Roman" w:eastAsia="仿宋_GB2312"/>
          <w:b w:val="false"/>
          <w:sz w:val="32"/>
          <w:szCs w:val="32"/>
        </w:rPr>
        <w:t>万元，占政府采购支出总额的</w:t>
      </w:r>
      <w:r>
        <w:rPr>
          <w:rFonts w:ascii="Times New Roman" w:eastAsia="仿宋_GB2312"/>
          <w:b w:val="false"/>
          <w:sz w:val="32"/>
          <w:szCs w:val="32"/>
        </w:rPr>
        <w:t>0.0</w:t>
      </w:r>
      <w:r>
        <w:rPr>
          <w:rFonts w:ascii="Times New Roman" w:eastAsia="仿宋_GB2312"/>
          <w:b w:val="false"/>
          <w:sz w:val="32"/>
          <w:szCs w:val="32"/>
        </w:rPr>
        <w:t>%，其中授予小微企业合同金额</w:t>
      </w:r>
      <w:r>
        <w:rPr>
          <w:rFonts w:ascii="Times New Roman" w:eastAsia="仿宋_GB2312"/>
          <w:b w:val="false"/>
          <w:sz w:val="32"/>
          <w:szCs w:val="32"/>
        </w:rPr>
        <w:t>0.00</w:t>
      </w:r>
      <w:r>
        <w:rPr>
          <w:rFonts w:ascii="Times New Roman" w:eastAsia="仿宋_GB2312"/>
          <w:b w:val="false"/>
          <w:sz w:val="32"/>
          <w:szCs w:val="32"/>
        </w:rPr>
        <w:t>万元，占政府采购支出总额的</w:t>
      </w:r>
      <w:r>
        <w:rPr>
          <w:rFonts w:ascii="Times New Roman" w:eastAsia="仿宋_GB2312"/>
          <w:b w:val="false"/>
          <w:sz w:val="32"/>
          <w:szCs w:val="32"/>
        </w:rPr>
        <w:t>0.0</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outlineLvl w:val="1"/>
        <w:rPr>
          <w:rFonts w:ascii="Times New Roman" w:eastAsia="黑体"/>
          <w:sz w:val="32"/>
          <w:szCs w:val="32"/>
        </w:rPr>
      </w:pPr>
      <w:r>
        <w:rPr>
          <w:rFonts w:ascii="Times New Roman" w:eastAsia="黑体"/>
          <w:b w:val="false"/>
          <w:sz w:val="32"/>
          <w:szCs w:val="32"/>
        </w:rPr>
        <w:t>八、国有资产占用情况说明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 截至2025年12月31日，</w:t>
      </w:r>
      <w:r>
        <w:rPr>
          <w:rFonts w:ascii="Times New Roman" w:eastAsia="仿宋_GB2312"/>
          <w:b w:val="false"/>
          <w:sz w:val="32"/>
          <w:szCs w:val="32"/>
        </w:rPr>
        <w:t>本单位共有车辆</w:t>
      </w:r>
      <w:r>
        <w:rPr>
          <w:rFonts w:ascii="Times New Roman" w:eastAsia="仿宋_GB2312"/>
          <w:b w:val="false"/>
          <w:sz w:val="32"/>
          <w:szCs w:val="32"/>
        </w:rPr>
        <w:t>0</w:t>
      </w:r>
      <w:r>
        <w:rPr>
          <w:rFonts w:ascii="Times New Roman" w:eastAsia="仿宋_GB2312"/>
          <w:b w:val="false"/>
          <w:sz w:val="32"/>
          <w:szCs w:val="32"/>
        </w:rPr>
        <w:t>辆，比上年</w:t>
      </w:r>
      <w:r>
        <w:rPr>
          <w:rFonts w:ascii="Times New Roman" w:eastAsia="仿宋_GB2312"/>
          <w:b w:val="false"/>
          <w:sz w:val="32"/>
          <w:szCs w:val="32"/>
        </w:rPr>
        <w:t>减少</w:t>
      </w:r>
      <w:r>
        <w:rPr>
          <w:rFonts w:ascii="Times New Roman" w:eastAsia="仿宋_GB2312"/>
          <w:b w:val="false"/>
          <w:sz w:val="32"/>
          <w:szCs w:val="32"/>
        </w:rPr>
        <w:t>1</w:t>
      </w:r>
      <w:r>
        <w:rPr>
          <w:rFonts w:ascii="Times New Roman" w:eastAsia="仿宋_GB2312"/>
          <w:b w:val="false"/>
          <w:sz w:val="32"/>
          <w:szCs w:val="32"/>
        </w:rPr>
        <w:t>辆，主要是</w:t>
      </w:r>
      <w:r>
        <w:rPr>
          <w:rFonts w:ascii="Times New Roman" w:eastAsia="仿宋_GB2312"/>
          <w:b w:val="false"/>
          <w:sz w:val="32"/>
          <w:szCs w:val="32"/>
        </w:rPr>
        <w:t>公务车损毁，不具备继续上路行驶条件，按程序完成报废处置</w:t>
      </w:r>
      <w:r>
        <w:rPr>
          <w:rFonts w:ascii="Times New Roman" w:eastAsia="仿宋_GB2312"/>
          <w:b w:val="false"/>
          <w:sz w:val="32"/>
          <w:szCs w:val="32"/>
        </w:rPr>
        <w:t>。其中，副部（省）级及以上领导用车</w:t>
      </w:r>
      <w:r>
        <w:rPr>
          <w:rFonts w:ascii="Times New Roman" w:eastAsia="仿宋_GB2312"/>
          <w:b w:val="false"/>
          <w:sz w:val="32"/>
          <w:szCs w:val="32"/>
        </w:rPr>
        <w:t>0</w:t>
      </w:r>
      <w:r>
        <w:rPr>
          <w:rFonts w:ascii="Times New Roman" w:eastAsia="仿宋_GB2312"/>
          <w:b w:val="false"/>
          <w:sz w:val="32"/>
          <w:szCs w:val="32"/>
        </w:rPr>
        <w:t>辆，主要负责人用车</w:t>
      </w:r>
      <w:r>
        <w:rPr>
          <w:rFonts w:ascii="Times New Roman" w:eastAsia="仿宋_GB2312"/>
          <w:b w:val="false"/>
          <w:sz w:val="32"/>
          <w:szCs w:val="32"/>
        </w:rPr>
        <w:t>0</w:t>
      </w:r>
      <w:r>
        <w:rPr>
          <w:rFonts w:ascii="Times New Roman" w:eastAsia="仿宋_GB2312"/>
          <w:b w:val="false"/>
          <w:sz w:val="32"/>
          <w:szCs w:val="32"/>
        </w:rPr>
        <w:t>辆，机要通信用车</w:t>
      </w:r>
      <w:r>
        <w:rPr>
          <w:rFonts w:ascii="Times New Roman" w:eastAsia="仿宋_GB2312"/>
          <w:b w:val="false"/>
          <w:sz w:val="32"/>
          <w:szCs w:val="32"/>
        </w:rPr>
        <w:t>0</w:t>
      </w:r>
      <w:r>
        <w:rPr>
          <w:rFonts w:ascii="Times New Roman" w:eastAsia="仿宋_GB2312"/>
          <w:b w:val="false"/>
          <w:sz w:val="32"/>
          <w:szCs w:val="32"/>
        </w:rPr>
        <w:t>辆，应急保障用车</w:t>
      </w:r>
      <w:r>
        <w:rPr>
          <w:rFonts w:ascii="Times New Roman" w:eastAsia="仿宋_GB2312"/>
          <w:b w:val="false"/>
          <w:sz w:val="32"/>
          <w:szCs w:val="32"/>
        </w:rPr>
        <w:t>0</w:t>
      </w:r>
      <w:r>
        <w:rPr>
          <w:rFonts w:ascii="Times New Roman" w:eastAsia="仿宋_GB2312"/>
          <w:b w:val="false"/>
          <w:sz w:val="32"/>
          <w:szCs w:val="32"/>
        </w:rPr>
        <w:t>辆，执法执勤用车</w:t>
      </w:r>
      <w:r>
        <w:rPr>
          <w:rFonts w:ascii="Times New Roman" w:eastAsia="仿宋_GB2312"/>
          <w:b w:val="false"/>
          <w:sz w:val="32"/>
          <w:szCs w:val="32"/>
        </w:rPr>
        <w:t>0</w:t>
      </w:r>
      <w:r>
        <w:rPr>
          <w:rFonts w:ascii="Times New Roman" w:eastAsia="仿宋_GB2312"/>
          <w:b w:val="false"/>
          <w:sz w:val="32"/>
          <w:szCs w:val="32"/>
        </w:rPr>
        <w:t>辆，特种专业技术用车</w:t>
      </w:r>
      <w:r>
        <w:rPr>
          <w:rFonts w:ascii="Times New Roman" w:eastAsia="仿宋_GB2312"/>
          <w:b w:val="false"/>
          <w:sz w:val="32"/>
          <w:szCs w:val="32"/>
        </w:rPr>
        <w:t>0</w:t>
      </w:r>
      <w:r>
        <w:rPr>
          <w:rFonts w:ascii="Times New Roman" w:eastAsia="仿宋_GB2312"/>
          <w:b w:val="false"/>
          <w:sz w:val="32"/>
          <w:szCs w:val="32"/>
        </w:rPr>
        <w:t>辆，离退休干部用车</w:t>
      </w:r>
      <w:r>
        <w:rPr>
          <w:rFonts w:ascii="Times New Roman" w:eastAsia="仿宋_GB2312"/>
          <w:b w:val="false"/>
          <w:sz w:val="32"/>
          <w:szCs w:val="32"/>
        </w:rPr>
        <w:t>0</w:t>
      </w:r>
      <w:r>
        <w:rPr>
          <w:rFonts w:ascii="Times New Roman" w:eastAsia="仿宋_GB2312"/>
          <w:b w:val="false"/>
          <w:sz w:val="32"/>
          <w:szCs w:val="32"/>
        </w:rPr>
        <w:t>辆，其他用车</w:t>
      </w:r>
      <w:r>
        <w:rPr>
          <w:rFonts w:ascii="Times New Roman" w:eastAsia="仿宋_GB2312"/>
          <w:b w:val="false"/>
          <w:sz w:val="32"/>
          <w:szCs w:val="32"/>
        </w:rPr>
        <w:t>0</w:t>
      </w:r>
      <w:r>
        <w:rPr>
          <w:rFonts w:ascii="Times New Roman" w:eastAsia="仿宋_GB2312"/>
          <w:b w:val="false"/>
          <w:sz w:val="32"/>
          <w:szCs w:val="32"/>
        </w:rPr>
        <w:t>辆，其他用车主要是</w:t>
      </w:r>
      <w:r>
        <w:rPr>
          <w:rFonts w:ascii="Times New Roman" w:eastAsia="仿宋_GB2312"/>
          <w:b w:val="false"/>
          <w:sz w:val="32"/>
          <w:szCs w:val="32"/>
        </w:rPr>
        <w:t>无变化</w:t>
      </w:r>
      <w:r>
        <w:rPr>
          <w:rFonts w:ascii="Times New Roman" w:eastAsia="仿宋_GB2312"/>
          <w:b w:val="false"/>
          <w:sz w:val="32"/>
          <w:szCs w:val="32"/>
        </w:rPr>
        <w:t>。单位价值100万元（含）以上设备（不含车辆）</w:t>
      </w:r>
      <w:r>
        <w:rPr>
          <w:rFonts w:ascii="Times New Roman" w:eastAsia="仿宋_GB2312"/>
          <w:b w:val="false"/>
          <w:sz w:val="32"/>
          <w:szCs w:val="32"/>
        </w:rPr>
        <w:t>0</w:t>
      </w:r>
      <w:r>
        <w:rPr>
          <w:rFonts w:ascii="Times New Roman" w:eastAsia="仿宋_GB2312"/>
          <w:b w:val="false"/>
          <w:sz w:val="32"/>
          <w:szCs w:val="32"/>
        </w:rPr>
        <w:t>台（套）。</w:t>
      </w:r>
    </w:p>
    <w:p>
      <w:pPr>
        <w:widowControl w:val="true"/>
        <w:spacing w:before="0" w:beforeLines="0" w:beforeAutospacing="false" w:after="0" w:afterLines="0" w:afterAutospacing="false" w:line="360" w:lineRule="auto"/>
        <w:ind w:firstLine="200" w:firstLineChars="200"/>
        <w:jc w:val="left"/>
        <w:outlineLvl w:val="1"/>
        <w:rPr>
          <w:rFonts w:ascii="Times New Roman" w:eastAsia="黑体"/>
          <w:sz w:val="32"/>
          <w:szCs w:val="32"/>
        </w:rPr>
      </w:pPr>
      <w:r>
        <w:rPr>
          <w:rFonts w:ascii="Times New Roman" w:eastAsia="黑体"/>
          <w:b w:val="false"/>
          <w:sz w:val="32"/>
          <w:szCs w:val="32"/>
        </w:rPr>
        <w:t>九、关于2025年度绩效评价情况的说明</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（一）绩效评价工作开展情况</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 根据预算绩效管理要求，</w:t>
      </w:r>
      <w:r>
        <w:rPr>
          <w:rFonts w:ascii="Times New Roman" w:eastAsia="仿宋_GB2312"/>
          <w:b w:val="false"/>
          <w:sz w:val="32"/>
          <w:szCs w:val="32"/>
        </w:rPr>
        <w:t>本单位</w:t>
      </w:r>
      <w:r>
        <w:rPr>
          <w:rFonts w:ascii="Times New Roman" w:eastAsia="仿宋_GB2312"/>
          <w:b w:val="false"/>
          <w:sz w:val="32"/>
          <w:szCs w:val="32"/>
        </w:rPr>
        <w:t>组织对2025年度本级预算项目支出全面开展绩效自评，共涉及资金</w:t>
      </w:r>
      <w:r>
        <w:rPr>
          <w:rFonts w:ascii="Times New Roman" w:eastAsia="仿宋_GB2312"/>
          <w:b w:val="false"/>
          <w:sz w:val="32"/>
          <w:szCs w:val="32"/>
        </w:rPr>
        <w:t>2,255.93</w:t>
      </w:r>
      <w:r>
        <w:rPr>
          <w:rFonts w:ascii="Times New Roman" w:eastAsia="仿宋_GB2312"/>
          <w:b w:val="false"/>
          <w:sz w:val="32"/>
          <w:szCs w:val="32"/>
        </w:rPr>
        <w:t>万元（决算金额）。其中，一般公共预算项目</w:t>
      </w:r>
      <w:r>
        <w:rPr>
          <w:rFonts w:ascii="Times New Roman" w:eastAsia="仿宋_GB2312"/>
          <w:b w:val="false"/>
          <w:sz w:val="32"/>
          <w:szCs w:val="32"/>
        </w:rPr>
        <w:t>45</w:t>
      </w:r>
      <w:r>
        <w:rPr>
          <w:rFonts w:ascii="Times New Roman" w:eastAsia="仿宋_GB2312"/>
          <w:b w:val="false"/>
          <w:sz w:val="32"/>
          <w:szCs w:val="32"/>
        </w:rPr>
        <w:t>个，涉及资金</w:t>
      </w:r>
      <w:r>
        <w:rPr>
          <w:rFonts w:ascii="Times New Roman" w:eastAsia="仿宋_GB2312"/>
          <w:b w:val="false"/>
          <w:sz w:val="32"/>
          <w:szCs w:val="32"/>
        </w:rPr>
        <w:t>1,507.3</w:t>
      </w:r>
      <w:r>
        <w:rPr>
          <w:rFonts w:ascii="Times New Roman" w:eastAsia="仿宋_GB2312"/>
          <w:b w:val="false"/>
          <w:sz w:val="32"/>
          <w:szCs w:val="32"/>
        </w:rPr>
        <w:t>万元，占一般公共预算项目支出总额的</w:t>
      </w:r>
      <w:r>
        <w:rPr>
          <w:rFonts w:ascii="Times New Roman" w:eastAsia="仿宋_GB2312"/>
          <w:b w:val="false"/>
          <w:sz w:val="32"/>
          <w:szCs w:val="32"/>
        </w:rPr>
        <w:t>100</w:t>
      </w:r>
      <w:r>
        <w:rPr>
          <w:rFonts w:ascii="Times New Roman" w:eastAsia="仿宋_GB2312"/>
          <w:b w:val="false"/>
          <w:sz w:val="32"/>
          <w:szCs w:val="32"/>
        </w:rPr>
        <w:t>%；政府性基金预算项目</w:t>
      </w:r>
      <w:r>
        <w:rPr>
          <w:rFonts w:ascii="Times New Roman" w:eastAsia="仿宋_GB2312"/>
          <w:b w:val="false"/>
          <w:sz w:val="32"/>
          <w:szCs w:val="32"/>
        </w:rPr>
        <w:t>7</w:t>
      </w:r>
      <w:r>
        <w:rPr>
          <w:rFonts w:ascii="Times New Roman" w:eastAsia="仿宋_GB2312"/>
          <w:b w:val="false"/>
          <w:sz w:val="32"/>
          <w:szCs w:val="32"/>
        </w:rPr>
        <w:t>个，涉及资金</w:t>
      </w:r>
      <w:r>
        <w:rPr>
          <w:rFonts w:ascii="Times New Roman" w:eastAsia="仿宋_GB2312"/>
          <w:b w:val="false"/>
          <w:sz w:val="32"/>
          <w:szCs w:val="32"/>
        </w:rPr>
        <w:t>157.52</w:t>
      </w:r>
      <w:r>
        <w:rPr>
          <w:rFonts w:ascii="Times New Roman" w:eastAsia="仿宋_GB2312"/>
          <w:b w:val="false"/>
          <w:sz w:val="32"/>
          <w:szCs w:val="32"/>
        </w:rPr>
        <w:t>万元，占政府性基金预算项目支出总额的</w:t>
      </w:r>
      <w:r>
        <w:rPr>
          <w:rFonts w:ascii="Times New Roman" w:eastAsia="仿宋_GB2312"/>
          <w:b w:val="false"/>
          <w:sz w:val="32"/>
          <w:szCs w:val="32"/>
        </w:rPr>
        <w:t>100</w:t>
      </w:r>
      <w:r>
        <w:rPr>
          <w:rFonts w:ascii="Times New Roman" w:eastAsia="仿宋_GB2312"/>
          <w:b w:val="false"/>
          <w:sz w:val="32"/>
          <w:szCs w:val="32"/>
        </w:rPr>
        <w:t>%；国有资本经营预算项目</w:t>
      </w:r>
      <w:r>
        <w:rPr>
          <w:rFonts w:ascii="Times New Roman" w:eastAsia="仿宋_GB2312"/>
          <w:b w:val="false"/>
          <w:sz w:val="32"/>
          <w:szCs w:val="32"/>
        </w:rPr>
        <w:t>0</w:t>
      </w:r>
      <w:r>
        <w:rPr>
          <w:rFonts w:ascii="Times New Roman" w:eastAsia="仿宋_GB2312"/>
          <w:b w:val="false"/>
          <w:sz w:val="32"/>
          <w:szCs w:val="32"/>
        </w:rPr>
        <w:t>个，涉及资金</w:t>
      </w:r>
      <w:r>
        <w:rPr>
          <w:rFonts w:ascii="Times New Roman" w:eastAsia="仿宋_GB2312"/>
          <w:b w:val="false"/>
          <w:sz w:val="32"/>
          <w:szCs w:val="32"/>
        </w:rPr>
        <w:t>0</w:t>
      </w:r>
      <w:r>
        <w:rPr>
          <w:rFonts w:ascii="Times New Roman" w:eastAsia="仿宋_GB2312"/>
          <w:b w:val="false"/>
          <w:sz w:val="32"/>
          <w:szCs w:val="32"/>
        </w:rPr>
        <w:t>万元，占国有资本经营预算项目支出总额的</w:t>
      </w:r>
      <w:r>
        <w:rPr>
          <w:rFonts w:ascii="Times New Roman" w:eastAsia="仿宋_GB2312"/>
          <w:b w:val="false"/>
          <w:sz w:val="32"/>
          <w:szCs w:val="32"/>
        </w:rPr>
        <w:t>0</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组织对</w:t>
      </w:r>
      <w:r>
        <w:rPr>
          <w:rFonts w:ascii="Times New Roman" w:eastAsia="仿宋_GB2312"/>
          <w:b w:val="false"/>
          <w:sz w:val="32"/>
          <w:szCs w:val="32"/>
        </w:rPr>
        <w:t>宗教重点村党建工作经费</w:t>
      </w:r>
      <w:r>
        <w:rPr>
          <w:rFonts w:ascii="Times New Roman" w:eastAsia="仿宋_GB2312"/>
          <w:b w:val="false"/>
          <w:sz w:val="32"/>
          <w:szCs w:val="32"/>
        </w:rPr>
        <w:t>等</w:t>
      </w:r>
      <w:r>
        <w:rPr>
          <w:rFonts w:ascii="Times New Roman" w:eastAsia="仿宋_GB2312"/>
          <w:b w:val="false"/>
          <w:sz w:val="32"/>
          <w:szCs w:val="32"/>
        </w:rPr>
        <w:t>1</w:t>
      </w:r>
      <w:r>
        <w:rPr>
          <w:rFonts w:ascii="Times New Roman" w:eastAsia="仿宋_GB2312"/>
          <w:b w:val="false"/>
          <w:sz w:val="32"/>
          <w:szCs w:val="32"/>
        </w:rPr>
        <w:t>个项目开展了部门重点评价，涉及一般公共预算支出</w:t>
      </w:r>
      <w:r>
        <w:rPr>
          <w:rFonts w:ascii="Times New Roman" w:eastAsia="仿宋_GB2312"/>
          <w:b w:val="false"/>
          <w:sz w:val="32"/>
          <w:szCs w:val="32"/>
        </w:rPr>
        <w:t>5</w:t>
      </w:r>
      <w:r>
        <w:rPr>
          <w:rFonts w:ascii="Times New Roman" w:eastAsia="仿宋_GB2312"/>
          <w:b w:val="false"/>
          <w:sz w:val="32"/>
          <w:szCs w:val="32"/>
        </w:rPr>
        <w:t>万元，政府性基金预算支出</w:t>
      </w:r>
      <w:r>
        <w:rPr>
          <w:rFonts w:ascii="Times New Roman" w:eastAsia="仿宋_GB2312"/>
          <w:b w:val="false"/>
          <w:sz w:val="32"/>
          <w:szCs w:val="32"/>
        </w:rPr>
        <w:t>0</w:t>
      </w:r>
      <w:r>
        <w:rPr>
          <w:rFonts w:ascii="Times New Roman" w:eastAsia="仿宋_GB2312"/>
          <w:b w:val="false"/>
          <w:sz w:val="32"/>
          <w:szCs w:val="32"/>
        </w:rPr>
        <w:t>万元，国有资本经营预算支出</w:t>
      </w:r>
      <w:r>
        <w:rPr>
          <w:rFonts w:ascii="Times New Roman" w:eastAsia="仿宋_GB2312"/>
          <w:b w:val="false"/>
          <w:sz w:val="32"/>
          <w:szCs w:val="32"/>
        </w:rPr>
        <w:t>0</w:t>
      </w:r>
      <w:r>
        <w:rPr>
          <w:rFonts w:ascii="Times New Roman" w:eastAsia="仿宋_GB2312"/>
          <w:b w:val="false"/>
          <w:sz w:val="32"/>
          <w:szCs w:val="32"/>
        </w:rPr>
        <w:t>万元，从评价情况来看，</w:t>
      </w:r>
      <w:r>
        <w:rPr>
          <w:rFonts w:ascii="Times New Roman" w:eastAsia="仿宋_GB2312"/>
          <w:b w:val="false"/>
          <w:sz w:val="32"/>
          <w:szCs w:val="32"/>
        </w:rPr>
        <w:t>0</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（二）部门决算中项目绩效自评结果</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本单位</w:t>
      </w:r>
      <w:r>
        <w:rPr>
          <w:rFonts w:ascii="Times New Roman" w:eastAsia="仿宋_GB2312"/>
          <w:b w:val="false"/>
          <w:sz w:val="32"/>
          <w:szCs w:val="32"/>
        </w:rPr>
        <w:t>在今年部门决算公开中反映 </w:t>
      </w:r>
      <w:r>
        <w:rPr>
          <w:rFonts w:ascii="Times New Roman" w:eastAsia="仿宋_GB2312"/>
          <w:b w:val="false"/>
          <w:sz w:val="32"/>
          <w:szCs w:val="32"/>
        </w:rPr>
        <w:t>乡镇经费</w:t>
      </w:r>
      <w:r>
        <w:rPr>
          <w:rFonts w:ascii="Times New Roman" w:eastAsia="仿宋_GB2312"/>
          <w:b w:val="false"/>
          <w:sz w:val="32"/>
          <w:szCs w:val="32"/>
        </w:rPr>
        <w:t>等</w:t>
      </w:r>
      <w:r>
        <w:rPr>
          <w:rFonts w:ascii="Times New Roman" w:eastAsia="仿宋_GB2312"/>
          <w:b w:val="false"/>
          <w:sz w:val="32"/>
          <w:szCs w:val="32"/>
        </w:rPr>
        <w:t>1</w:t>
      </w:r>
      <w:r>
        <w:rPr>
          <w:rFonts w:ascii="Times New Roman" w:eastAsia="仿宋_GB2312"/>
          <w:b w:val="false"/>
          <w:sz w:val="32"/>
          <w:szCs w:val="32"/>
        </w:rPr>
        <w:t>个项目绩效自评结果。</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乡镇经费</w:t>
      </w:r>
      <w:r>
        <w:rPr>
          <w:rFonts w:ascii="Times New Roman" w:eastAsia="仿宋_GB2312"/>
          <w:b w:val="false"/>
          <w:sz w:val="32"/>
          <w:szCs w:val="32"/>
        </w:rPr>
        <w:t>项目绩效自评情况：根据年初设定的绩效目标，</w:t>
      </w:r>
      <w:r>
        <w:rPr>
          <w:rFonts w:ascii="Times New Roman" w:eastAsia="仿宋_GB2312"/>
          <w:b w:val="false"/>
          <w:sz w:val="32"/>
          <w:szCs w:val="32"/>
        </w:rPr>
        <w:t>乡镇经费</w:t>
      </w:r>
      <w:r>
        <w:rPr>
          <w:rFonts w:ascii="Times New Roman" w:eastAsia="仿宋_GB2312"/>
          <w:b w:val="false"/>
          <w:sz w:val="32"/>
          <w:szCs w:val="32"/>
        </w:rPr>
        <w:t>项目绩效自评得分为</w:t>
      </w:r>
      <w:r>
        <w:rPr>
          <w:rFonts w:ascii="Times New Roman" w:eastAsia="仿宋_GB2312"/>
          <w:b w:val="false"/>
          <w:sz w:val="32"/>
          <w:szCs w:val="32"/>
        </w:rPr>
        <w:t>100</w:t>
      </w:r>
      <w:r>
        <w:rPr>
          <w:rFonts w:ascii="Times New Roman" w:eastAsia="仿宋_GB2312"/>
          <w:b w:val="false"/>
          <w:sz w:val="32"/>
          <w:szCs w:val="32"/>
        </w:rPr>
        <w:t>分（绩效自评表附后）。全年预算数为</w:t>
      </w:r>
      <w:r>
        <w:rPr>
          <w:rFonts w:ascii="Times New Roman" w:eastAsia="仿宋_GB2312"/>
          <w:b w:val="false"/>
          <w:sz w:val="32"/>
          <w:szCs w:val="32"/>
        </w:rPr>
        <w:t>36.032871</w:t>
      </w:r>
      <w:r>
        <w:rPr>
          <w:rFonts w:ascii="Times New Roman" w:eastAsia="仿宋_GB2312"/>
          <w:b w:val="false"/>
          <w:sz w:val="32"/>
          <w:szCs w:val="32"/>
        </w:rPr>
        <w:t>万元，执行数为</w:t>
      </w:r>
      <w:r>
        <w:rPr>
          <w:rFonts w:ascii="Times New Roman" w:eastAsia="仿宋_GB2312"/>
          <w:b w:val="false"/>
          <w:sz w:val="32"/>
          <w:szCs w:val="32"/>
        </w:rPr>
        <w:t>36.032871</w:t>
      </w:r>
      <w:r>
        <w:rPr>
          <w:rFonts w:ascii="Times New Roman" w:eastAsia="仿宋_GB2312"/>
          <w:b w:val="false"/>
          <w:sz w:val="32"/>
          <w:szCs w:val="32"/>
        </w:rPr>
        <w:t>万元，完成预算的</w:t>
      </w:r>
      <w:r>
        <w:rPr>
          <w:rFonts w:ascii="Times New Roman" w:eastAsia="仿宋_GB2312"/>
          <w:b w:val="false"/>
          <w:sz w:val="32"/>
          <w:szCs w:val="32"/>
        </w:rPr>
        <w:t>100</w:t>
      </w:r>
      <w:r>
        <w:rPr>
          <w:rFonts w:ascii="Times New Roman" w:eastAsia="仿宋_GB2312"/>
          <w:b w:val="false"/>
          <w:sz w:val="32"/>
          <w:szCs w:val="32"/>
        </w:rPr>
        <w:t>%。项目绩效目标完成情况：一是</w:t>
      </w:r>
      <w:r>
        <w:rPr>
          <w:rFonts w:ascii="Times New Roman" w:eastAsia="仿宋_GB2312"/>
          <w:b w:val="false"/>
          <w:sz w:val="32"/>
          <w:szCs w:val="32"/>
        </w:rPr>
        <w:t>保障镇政府正常运转</w:t>
      </w:r>
      <w:r>
        <w:rPr>
          <w:rFonts w:ascii="Times New Roman" w:eastAsia="仿宋_GB2312"/>
          <w:b w:val="false"/>
          <w:sz w:val="32"/>
          <w:szCs w:val="32"/>
        </w:rPr>
        <w:t>；二是</w:t>
      </w:r>
      <w:r>
        <w:rPr>
          <w:rFonts w:ascii="Times New Roman" w:eastAsia="仿宋_GB2312"/>
          <w:b w:val="false"/>
          <w:sz w:val="32"/>
          <w:szCs w:val="32"/>
        </w:rPr>
        <w:t>按时完成县领导交办的各项工 作</w:t>
      </w:r>
      <w:r>
        <w:rPr>
          <w:rFonts w:ascii="Times New Roman" w:eastAsia="仿宋_GB2312"/>
          <w:b w:val="false"/>
          <w:sz w:val="32"/>
          <w:szCs w:val="32"/>
        </w:rPr>
        <w:t>。发现的主要问题及原因是：一是</w:t>
      </w:r>
      <w:r>
        <w:rPr>
          <w:rFonts w:ascii="Times New Roman" w:eastAsia="仿宋_GB2312"/>
          <w:b w:val="false"/>
          <w:sz w:val="32"/>
          <w:szCs w:val="32"/>
        </w:rPr>
        <w:t>无</w:t>
      </w:r>
      <w:r>
        <w:rPr>
          <w:rFonts w:ascii="Times New Roman" w:eastAsia="仿宋_GB2312"/>
          <w:b w:val="false"/>
          <w:sz w:val="32"/>
          <w:szCs w:val="32"/>
        </w:rPr>
        <w:t>；二是</w:t>
      </w:r>
      <w:r>
        <w:rPr>
          <w:rFonts w:ascii="Times New Roman" w:eastAsia="仿宋_GB2312"/>
          <w:b w:val="false"/>
          <w:sz w:val="32"/>
          <w:szCs w:val="32"/>
        </w:rPr>
        <w:t>无</w:t>
      </w:r>
      <w:r>
        <w:rPr>
          <w:rFonts w:ascii="Times New Roman" w:eastAsia="仿宋_GB2312"/>
          <w:b w:val="false"/>
          <w:sz w:val="32"/>
          <w:szCs w:val="32"/>
        </w:rPr>
        <w:t>。下一步改进措施：一是</w:t>
      </w:r>
      <w:r>
        <w:rPr>
          <w:rFonts w:ascii="Times New Roman" w:eastAsia="仿宋_GB2312"/>
          <w:b w:val="false"/>
          <w:sz w:val="32"/>
          <w:szCs w:val="32"/>
        </w:rPr>
        <w:t>无</w:t>
      </w:r>
      <w:r>
        <w:rPr>
          <w:rFonts w:ascii="Times New Roman" w:eastAsia="仿宋_GB2312"/>
          <w:b w:val="false"/>
          <w:sz w:val="32"/>
          <w:szCs w:val="32"/>
        </w:rPr>
        <w:t>；二是</w:t>
      </w:r>
      <w:r>
        <w:rPr>
          <w:rFonts w:ascii="Times New Roman" w:eastAsia="仿宋_GB2312"/>
          <w:b w:val="false"/>
          <w:sz w:val="32"/>
          <w:szCs w:val="32"/>
        </w:rPr>
        <w:t>无</w:t>
      </w:r>
      <w:r>
        <w:rPr>
          <w:rFonts w:ascii="Times New Roman" w:eastAsia="仿宋_GB2312"/>
          <w:b w:val="false"/>
          <w:sz w:val="32"/>
          <w:szCs w:val="32"/>
        </w:rPr>
        <w:t>。</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（三）部门评价项目绩效评价结果（如有）</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我部门无财政评价项目绩效评价情况</w:t>
      </w:r>
    </w:p>
    <w:p>
      <w:pPr>
        <w:widowControl w:val="true"/>
        <w:spacing w:before="0" w:beforeLines="0" w:beforeAutospacing="false" w:after="0" w:afterLines="0" w:afterAutospacing="false" w:line="360" w:lineRule="auto"/>
        <w:ind w:firstLine="200" w:firstLineChars="200"/>
        <w:jc w:val="left"/>
        <w:rPr>
          <w:rFonts w:ascii="Times New Roman" w:eastAsia="黑体"/>
          <w:sz w:val="32"/>
          <w:szCs w:val="32"/>
        </w:rPr>
      </w:pPr>
      <w:r>
        <w:rPr>
          <w:rFonts w:ascii="Times New Roman" w:eastAsia="黑体"/>
          <w:b w:val="false"/>
          <w:sz w:val="32"/>
          <w:szCs w:val="32"/>
        </w:rPr>
        <w:t>十、其他需要说明的情况</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 1. </w:t>
      </w:r>
      <w:r>
        <w:rPr>
          <w:rFonts w:ascii="Times New Roman" w:eastAsia="仿宋_GB2312"/>
          <w:b w:val="false"/>
          <w:sz w:val="32"/>
          <w:szCs w:val="32"/>
        </w:rPr>
        <w:t>本单位</w:t>
      </w:r>
      <w:r>
        <w:rPr>
          <w:rFonts w:ascii="Times New Roman" w:eastAsia="仿宋_GB2312"/>
          <w:b w:val="false"/>
          <w:sz w:val="32"/>
          <w:szCs w:val="32"/>
        </w:rPr>
        <w:t>2025年度</w:t>
      </w:r>
      <w:r>
        <w:rPr>
          <w:rFonts w:ascii="Times New Roman" w:eastAsia="仿宋_GB2312"/>
          <w:b w:val="false"/>
          <w:sz w:val="32"/>
          <w:szCs w:val="32"/>
        </w:rPr>
        <w:t>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w:t>
      </w:r>
      <w:r>
        <w:rPr>
          <w:rFonts w:ascii="Times New Roman" w:eastAsia="仿宋_GB2312"/>
          <w:b w:val="false"/>
          <w:sz w:val="32"/>
          <w:szCs w:val="32"/>
        </w:rPr>
        <w:t>无相应收支，故空表列示。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false"/>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val="true"/>
        <w:spacing w:before="0" w:beforeLines="0" w:beforeAutospacing="false" w:after="0" w:afterLines="0" w:afterAutospacing="false" w:line="360" w:lineRule="auto"/>
        <w:ind/>
        <w:jc w:val="center"/>
        <w:outlineLvl w:val="0"/>
        <w:rPr>
          <w:rFonts w:ascii="Times New Roman" w:eastAsia="黑体"/>
          <w:sz w:val="44"/>
          <w:szCs w:val="44"/>
        </w:rPr>
      </w:pPr>
      <w:r>
        <w:rPr>
          <w:rFonts w:ascii="Times New Roman" w:eastAsia="黑体"/>
          <w:b w:val="false"/>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一、财政拨款收入：</w:t>
      </w:r>
      <w:r>
        <w:rPr>
          <w:rFonts w:ascii="Times New Roman" w:eastAsia="仿宋_GB2312"/>
          <w:b w:val="false"/>
          <w:sz w:val="32"/>
          <w:szCs w:val="32"/>
        </w:rPr>
        <w:t>指单位从同级财政部门取得的财政预算资金。</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二、事业收入：</w:t>
      </w:r>
      <w:r>
        <w:rPr>
          <w:rFonts w:ascii="Times New Roman" w:eastAsia="仿宋_GB2312"/>
          <w:b w:val="false"/>
          <w:sz w:val="32"/>
          <w:szCs w:val="32"/>
        </w:rPr>
        <w:t>指事业单位开展专业业务活动及辅助活动取得的收入。</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三、经营收入：</w:t>
      </w:r>
      <w:r>
        <w:rPr>
          <w:rFonts w:ascii="Times New Roman" w:eastAsia="仿宋_GB2312"/>
          <w:b w:val="false"/>
          <w:sz w:val="32"/>
          <w:szCs w:val="32"/>
        </w:rPr>
        <w:t>指事业单位在专业业务活动及其辅助活动之外开展非独立核算经营活动取得的收入。</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四、其他收入：</w:t>
      </w:r>
      <w:r>
        <w:rPr>
          <w:rFonts w:ascii="Times New Roman" w:eastAsia="仿宋_GB2312"/>
          <w:b w:val="false"/>
          <w:sz w:val="32"/>
          <w:szCs w:val="32"/>
        </w:rPr>
        <w:t>指单位取得的除上述收入以外的各项收入。主要是事业单位固定资产出租收入、存款利息收入等。</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五、使用非财政拨款结余（含专用结余）：</w:t>
      </w:r>
      <w:r>
        <w:rPr>
          <w:rFonts w:ascii="Times New Roman" w:eastAsia="仿宋_GB2312"/>
          <w:b w:val="false"/>
          <w:sz w:val="32"/>
          <w:szCs w:val="32"/>
        </w:rPr>
        <w:t>指事业单位按照预算管理要求使用非财政拨款结余弥补收支差额的金额，以及使用专用结余安排支出的金额。</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六、年初结转和结余：</w:t>
      </w:r>
      <w:r>
        <w:rPr>
          <w:rFonts w:ascii="Times New Roman" w:eastAsia="仿宋_GB2312"/>
          <w:b w:val="false"/>
          <w:sz w:val="32"/>
          <w:szCs w:val="32"/>
        </w:rPr>
        <w:t>指单位以前年度尚未完成、结转到本年仍按原规定用途继续使用的资金，或项目已完成等产生的结余资金。</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七、结余分配：</w:t>
      </w:r>
      <w:r>
        <w:rPr>
          <w:rFonts w:ascii="Times New Roman" w:eastAsia="仿宋_GB2312"/>
          <w:b w:val="false"/>
          <w:sz w:val="32"/>
          <w:szCs w:val="32"/>
        </w:rPr>
        <w:t>指事业单位按照会计制度规定缴纳的所得税、提取的专用结余以及转入非财政拨款结余的金额等。</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八、年末结转和结余：</w:t>
      </w:r>
      <w:r>
        <w:rPr>
          <w:rFonts w:ascii="Times New Roman" w:eastAsia="仿宋_GB2312"/>
          <w:b w:val="false"/>
          <w:sz w:val="32"/>
          <w:szCs w:val="32"/>
        </w:rPr>
        <w:t>指单位按有关规定结转到下年或以后年度继续使用的资金，或项目已完成等产生的结余资金。</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九、基本支出：</w:t>
      </w:r>
      <w:r>
        <w:rPr>
          <w:rFonts w:ascii="Times New Roman" w:eastAsia="仿宋_GB2312"/>
          <w:b w:val="false"/>
          <w:sz w:val="32"/>
          <w:szCs w:val="32"/>
        </w:rPr>
        <w:t>指为保障机构正常运转、完成日常工作任务而发生的人员支出和公用支出。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十、项目支出：</w:t>
      </w:r>
      <w:r>
        <w:rPr>
          <w:rFonts w:ascii="Times New Roman" w:eastAsia="仿宋_GB2312"/>
          <w:b w:val="false"/>
          <w:sz w:val="32"/>
          <w:szCs w:val="32"/>
        </w:rPr>
        <w:t>指在基本支出之外为完成特定行政任务和事业发展目标所发生的支出。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十一、经营支出 ：</w:t>
      </w:r>
      <w:r>
        <w:rPr>
          <w:rFonts w:ascii="Times New Roman" w:eastAsia="仿宋_GB2312"/>
          <w:b w:val="false"/>
          <w:sz w:val="32"/>
          <w:szCs w:val="32"/>
        </w:rPr>
        <w:t>指事业单位在专业业务活动及其辅助活动之外开展非独立核算经营活动发生的支出。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十二、基本建设支出：</w:t>
      </w:r>
      <w:r>
        <w:rPr>
          <w:rFonts w:ascii="Times New Roman" w:eastAsia="仿宋_GB2312"/>
          <w:b w:val="false"/>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十三、其他资本性支出：</w:t>
      </w:r>
      <w:r>
        <w:rPr>
          <w:rFonts w:ascii="Times New Roman" w:eastAsia="仿宋_GB2312"/>
          <w:b w:val="false"/>
          <w:sz w:val="32"/>
          <w:szCs w:val="32"/>
        </w:rPr>
        <w:t>填列由各级非发展与改革部门集中安排的用于购置固定资产、战备性和应急性储备、土地和无形资产，以及购建基础设施、大型修缮和财政支持企业更新改造所发生的支出。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十四、“三公”经费：</w:t>
      </w:r>
      <w:r>
        <w:rPr>
          <w:rFonts w:ascii="Times New Roman" w:eastAsia="仿宋_GB2312"/>
          <w:b w:val="false"/>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十五、其他交通费用：</w:t>
      </w:r>
      <w:r>
        <w:rPr>
          <w:rFonts w:ascii="Times New Roman" w:eastAsia="仿宋_GB2312"/>
          <w:b w:val="false"/>
          <w:sz w:val="32"/>
          <w:szCs w:val="32"/>
        </w:rPr>
        <w:t>填列单位除公务用车运行维护费以外的其他交通费用。如公务交通补贴、租车费用、出租车费用，飞机、船舶等燃料费、维修费、保险费等。</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十六、公务用车购置：</w:t>
      </w:r>
      <w:r>
        <w:rPr>
          <w:rFonts w:ascii="Times New Roman" w:eastAsia="仿宋_GB2312"/>
          <w:b w:val="false"/>
          <w:sz w:val="32"/>
          <w:szCs w:val="32"/>
        </w:rPr>
        <w:t>填列单位公务用车车辆购置支出（含车辆购置税、牌照费）。</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十七、其他交通工具购置：</w:t>
      </w:r>
      <w:r>
        <w:rPr>
          <w:rFonts w:ascii="Times New Roman" w:eastAsia="仿宋_GB2312"/>
          <w:b w:val="false"/>
          <w:sz w:val="32"/>
          <w:szCs w:val="32"/>
        </w:rPr>
        <w:t>填列单位除公务用车外的其他各类交通工具（如船舶、飞机等）购置支出（含车辆购置税、牌照费）。</w:t>
      </w:r>
    </w:p>
    <w:p>
      <w:pPr>
        <w:widowControl w:val="true"/>
        <w:spacing w:before="0" w:beforeLines="0" w:beforeAutospacing="false" w:after="0" w:afterLines="0" w:afterAutospacing="false" w:line="360" w:lineRule="auto"/>
        <w:ind w:firstLine="200" w:firstLineChars="200"/>
        <w:jc w:val="left"/>
        <w:rPr>
          <w:rFonts w:ascii="Times New Roman" w:eastAsia="仿宋_GB2312"/>
          <w:sz w:val="32"/>
          <w:szCs w:val="32"/>
        </w:rPr>
      </w:pPr>
      <w:r>
        <w:rPr>
          <w:rFonts w:ascii="Times New Roman" w:eastAsia="仿宋_GB2312"/>
          <w:b w:val="true"/>
          <w:sz w:val="32"/>
          <w:szCs w:val="32"/>
        </w:rPr>
        <w:t>十八、机关运行经费：</w:t>
      </w:r>
      <w:r>
        <w:rPr>
          <w:rFonts w:ascii="Times New Roman" w:eastAsia="仿宋_GB2312"/>
          <w:b w:val="false"/>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false"/>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AB0B9D9-04D6-4C71-88C0-E34878160D23}"/>
  </w:font>
  <w:font w:name="黑体">
    <w:panose1 w:val="02010609060101010101"/>
    <w:charset w:val="86"/>
    <w:family w:val="auto"/>
    <w:pitch w:val="default"/>
    <w:sig w:usb0="800002BF" w:usb1="38CF7CFA" w:usb2="00000016" w:usb3="00000000" w:csb0="00040001" w:csb1="00000000"/>
    <w:embedRegular r:id="rId2" w:fontKey="{92A68131-FEB5-47C6-B862-F08C8F0F34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67A8DAE-E5DF-4CE5-9336-598F862E9564}"/>
  </w:font>
  <w:font w:name="仿宋">
    <w:panose1 w:val="02010609060101010101"/>
    <w:charset w:val="86"/>
    <w:family w:val="modern"/>
    <w:pitch w:val="default"/>
    <w:sig w:usb0="800002BF" w:usb1="38CF7CFA" w:usb2="00000016" w:usb3="00000000" w:csb0="00040001" w:csb1="00000000"/>
    <w:embedRegular r:id="rId4" w:fontKey="{FFBBDC71-B692-4D90-8BB6-33BEE06F6CC6}"/>
  </w:font>
  <w:font w:name="Calibri Light">
    <w:panose1 w:val="020F0302020204030204"/>
    <w:charset w:val="00"/>
    <w:family w:val="auto"/>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22F5AADF-A2FC-4B1A-9E4C-202C0F16E493}"/>
  </w:font>
  <w:font w:name="楷体_GB2312">
    <w:panose1 w:val="02010609030101010101"/>
    <w:charset w:val="86"/>
    <w:family w:val="auto"/>
    <w:pitch w:val="default"/>
    <w:sig w:usb0="00000001" w:usb1="080E0000" w:usb2="00000000" w:usb3="00000000" w:csb0="00040000" w:csb1="00000000"/>
    <w:embedRegular r:id="rId6" w:fontKey="{1E579121-D2FF-4A1C-AAAE-166D15A91AF9}"/>
  </w:font>
  <w:font w:name="微软雅黑">
    <w:panose1 w:val="020B0503020204020204"/>
    <w:charset w:val="86"/>
    <w:family w:val="auto"/>
    <w:pitch w:val="default"/>
    <w:sig w:usb0="80000287" w:usb1="2ACF3C50" w:usb2="00000016" w:usb3="00000000" w:csb0="0004001F" w:csb1="00000000"/>
    <w:embedRegular r:id="rId7" w:fontKey="{9DFE4526-0413-482C-8A0E-AFA523DD9906}"/>
  </w:font>
  <w:font w:name="方正小标宋_GBK">
    <w:panose1 w:val="02000000000000000000"/>
    <w:charset w:val="86"/>
    <w:family w:val="script"/>
    <w:pitch w:val="default"/>
    <w:sig w:usb0="A00002BF" w:usb1="38CF7CFA" w:usb2="00082016" w:usb3="00000000" w:csb0="00040001" w:csb1="00000000"/>
    <w:embedRegular r:id="rId8" w:fontKey="{26638F56-BC0C-4B39-BF99-240B206985CC}"/>
  </w:font>
  <w:font w:name="仿宋_GB2312">
    <w:panose1 w:val="02010609030101010101"/>
    <w:charset w:val="86"/>
    <w:family w:val="auto"/>
    <w:pitch w:val="default"/>
    <w:sig w:usb0="00000001" w:usb1="080E0000" w:usb2="00000000" w:usb3="00000000" w:csb0="00040000" w:csb1="00000000"/>
    <w:embedRegular r:id="rId9" w:fontKey="{4898EF9B-90A5-4092-9937-9F2C49DC2C0F}"/>
  </w:font>
  <w:font w:name="ArialUnicodeMS">
    <w:altName w:val="Malgun Gothic"/>
    <w:panose1 w:val="00000000000000000000"/>
    <w:charset w:val="81"/>
    <w:family w:val="auto"/>
    <w:pitch w:val="default"/>
    <w:sig w:usb0="00000000" w:usb1="00000000" w:usb2="00000010" w:usb3="00000000" w:csb0="00080001" w:csb1="00000000"/>
    <w:embedRegular r:id="rId10" w:fontKey="{87120C73-D917-45CF-968C-1337564343D7}"/>
  </w:font>
  <w:font w:name="Malgun Gothic">
    <w:panose1 w:val="020B0503020000020004"/>
    <w:charset w:val="81"/>
    <w:family w:val="auto"/>
    <w:pitch w:val="default"/>
    <w:sig w:usb0="9000002F" w:usb1="29D77CFB" w:usb2="00000012" w:usb3="00000000" w:csb0="00080001" w:csb1="00000000"/>
  </w:font>
</w:fonts>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jc w:val="center"/>
    </w:pPr>
    <w:r>
      <w:fldChar w:fldCharType="begin"/>
    </w:r>
    <w:r>
      <w:t xml:space="preserve">PAGE</w:t>
    </w:r>
    <w:r>
      <w:fldChar w:fldCharType="separate"/>
    </w:r>
    <w:r>
      <w:t>1</w:t>
    </w:r>
    <w:r>
      <w:fldChar w:fldCharType="end"/>
    </w:r>
  </w:p>
</w:ftr>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B46A3">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header.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hd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image1.jpeg" Type="http://schemas.openxmlformats.org/officeDocument/2006/relationships/image"/><Relationship Id="rId11" Target="charts/chart1.xml" Type="http://schemas.openxmlformats.org/officeDocument/2006/relationships/chart"/><Relationship Id="rId12" Target="charts/chart2.xml" Type="http://schemas.openxmlformats.org/officeDocument/2006/relationships/chart"/><Relationship Id="rId13" Target="charts/chart3.xml" Type="http://schemas.openxmlformats.org/officeDocument/2006/relationships/chart"/><Relationship Id="rId14" Target="charts/chart4.xml" Type="http://schemas.openxmlformats.org/officeDocument/2006/relationships/chart"/><Relationship Id="rId15" Target="charts/chart5.xml" Type="http://schemas.openxmlformats.org/officeDocument/2006/relationships/chart"/><Relationship Id="rId16" Target="../customXml/item1.xml" Type="http://schemas.openxmlformats.org/officeDocument/2006/relationships/customXml"/><Relationship Id="rId17" Target="numbering.xml" Type="http://schemas.openxmlformats.org/officeDocument/2006/relationships/numbering"/><Relationship Id="rId18" Target="fontTable.xml" Type="http://schemas.openxmlformats.org/officeDocument/2006/relationships/fontTable"/><Relationship Id="rId19" Target="header.xml" Type="http://schemas.openxmlformats.org/officeDocument/2006/relationships/header"/><Relationship Id="rId2" Target="settings.xml" Type="http://schemas.openxmlformats.org/officeDocument/2006/relationships/settings"/><Relationship Id="rId20" Target="footer.xml" Type="http://schemas.openxmlformats.org/officeDocument/2006/relationships/footer"/><Relationship Id="rId3" Target="footer1.xml" Type="http://schemas.openxmlformats.org/officeDocument/2006/relationships/footer"/><Relationship Id="rId4" Target="header1.xml" Type="http://schemas.openxmlformats.org/officeDocument/2006/relationships/header"/><Relationship Id="rId5" Target="header2.xml" Type="http://schemas.openxmlformats.org/officeDocument/2006/relationships/header"/><Relationship Id="rId6" Target="footer2.xml" Type="http://schemas.openxmlformats.org/officeDocument/2006/relationships/footer"/><Relationship Id="rId7" Target="footer3.xml" Type="http://schemas.openxmlformats.org/officeDocument/2006/relationships/footer"/><Relationship Id="rId8" Target="header3.xml" Type="http://schemas.openxmlformats.org/officeDocument/2006/relationships/header"/><Relationship Id="rId9" Target="theme/theme1.xml" Type="http://schemas.openxmlformats.org/officeDocument/2006/relationships/them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10" Target="fonts/font10.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 Id="rId8" Target="fonts/font8.odttf" Type="http://schemas.openxmlformats.org/officeDocument/2006/relationships/font"/><Relationship Id="rId9" Target="fonts/font9.odttf" Type="http://schemas.openxmlformats.org/officeDocument/2006/relationships/font"/></Relationships>
</file>

<file path=word/charts/_rels/chart1.xml.rels><?xml version="1.0" encoding="UTF-8" standalone="yes"?><Relationships xmlns="http://schemas.openxmlformats.org/package/2006/relationships"><Relationship Id="rId1" Target="../embeddings/Workbook1.xlsx" Type="http://schemas.openxmlformats.org/officeDocument/2006/relationships/package"/><Relationship Id="rId2" Target="style1.xml" Type="http://schemas.microsoft.com/office/2011/relationships/chartStyle"/><Relationship Id="rId3" Target="colors1.xml" Type="http://schemas.microsoft.com/office/2011/relationships/chartColorStyle"/></Relationships>
</file>

<file path=word/charts/_rels/chart2.xml.rels><?xml version="1.0" encoding="UTF-8" standalone="yes"?><Relationships xmlns="http://schemas.openxmlformats.org/package/2006/relationships"><Relationship Id="rId1" Target="../embeddings/Workbook2.xlsx" Type="http://schemas.openxmlformats.org/officeDocument/2006/relationships/package"/><Relationship Id="rId2" Target="style2.xml" Type="http://schemas.microsoft.com/office/2011/relationships/chartStyle"/><Relationship Id="rId3" Target="colors2.xml" Type="http://schemas.microsoft.com/office/2011/relationships/chartColorStyle"/></Relationships>
</file>

<file path=word/charts/_rels/chart3.xml.rels><?xml version="1.0" encoding="UTF-8" standalone="yes"?><Relationships xmlns="http://schemas.openxmlformats.org/package/2006/relationships"><Relationship Id="rId1" Target="../embeddings/Workbook3.xlsx" Type="http://schemas.openxmlformats.org/officeDocument/2006/relationships/package"/><Relationship Id="rId2" Target="style3.xml" Type="http://schemas.microsoft.com/office/2011/relationships/chartStyle"/><Relationship Id="rId3" Target="colors3.xml" Type="http://schemas.microsoft.com/office/2011/relationships/chartColorStyle"/></Relationships>
</file>

<file path=word/charts/_rels/chart4.xml.rels><?xml version="1.0" encoding="UTF-8" standalone="yes"?><Relationships xmlns="http://schemas.openxmlformats.org/package/2006/relationships"><Relationship Id="rId1" Target="../embeddings/Workbook5.xlsx" Type="http://schemas.openxmlformats.org/officeDocument/2006/relationships/package"/><Relationship Id="rId2" Target="style5.xml" Type="http://schemas.microsoft.com/office/2011/relationships/chartStyle"/><Relationship Id="rId3" Target="colors5.xml" Type="http://schemas.microsoft.com/office/2011/relationships/chartColorStyle"/></Relationships>
</file>

<file path=word/charts/_rels/chart5.xml.rels><?xml version="1.0" encoding="UTF-8" standalone="yes"?><Relationships xmlns="http://schemas.openxmlformats.org/package/2006/relationships"><Relationship Id="rId1" Target="../embeddings/Workbook4.xlsx" Type="http://schemas.openxmlformats.org/officeDocument/2006/relationships/package"/><Relationship Id="rId2" Target="style4.xml" Type="http://schemas.microsoft.com/office/2011/relationships/chartStyle"/><Relationship Id="rId3" Target="colors4.xml" Type="http://schemas.microsoft.com/office/2011/relationships/chartColorStyle"/></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ptCount val="2"/>
                <c:pt idx="0">
                  <c:v>2255.93</c:v>
                </c:pt>
                <c:pt idx="1">
                  <c:v>966.47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ptCount val="6"/>
                <c:pt idx="0">
                  <c:v>2.255926803E7</c:v>
                </c:pt>
                <c:pt idx="1">
                  <c:v>0.0</c:v>
                </c:pt>
                <c:pt idx="2">
                  <c:v>0.0</c:v>
                </c:pt>
                <c:pt idx="3">
                  <c:v>0.0</c:v>
                </c:pt>
                <c:pt idx="4">
                  <c:v>0.0</c:v>
                </c:pt>
                <c:pt idx="5">
                  <c:v>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ptCount val="5"/>
                <c:pt idx="0">
                  <c:v>5911089.52</c:v>
                </c:pt>
                <c:pt idx="1">
                  <c:v>1.664817851E7</c:v>
                </c:pt>
                <c:pt idx="2">
                  <c:v>0.0</c:v>
                </c:pt>
                <c:pt idx="3">
                  <c:v>0.0</c:v>
                </c:pt>
                <c:pt idx="4">
                  <c:v>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ptCount val="8"/>
                <c:pt idx="0">
                  <c:v>966.47</c:v>
                </c:pt>
                <c:pt idx="1">
                  <c:v>966.47</c:v>
                </c:pt>
                <c:pt idx="2">
                  <c:v>935.15</c:v>
                </c:pt>
                <c:pt idx="3">
                  <c:v>935.15</c:v>
                </c:pt>
                <c:pt idx="4">
                  <c:v>31.32</c:v>
                </c:pt>
                <c:pt idx="5">
                  <c:v>31.32</c:v>
                </c:pt>
                <c:pt idx="6">
                  <c:v>0.0</c:v>
                </c:pt>
                <c:pt idx="7">
                  <c:v>0.0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ptCount val="8"/>
                <c:pt idx="0">
                  <c:v>2255.93</c:v>
                </c:pt>
                <c:pt idx="1">
                  <c:v>2255.93</c:v>
                </c:pt>
                <c:pt idx="2">
                  <c:v>2098.41</c:v>
                </c:pt>
                <c:pt idx="3">
                  <c:v>2098.41</c:v>
                </c:pt>
                <c:pt idx="4">
                  <c:v>157.52</c:v>
                </c:pt>
                <c:pt idx="5">
                  <c:v>157.52</c:v>
                </c:pt>
                <c:pt idx="6">
                  <c:v>0.0</c:v>
                </c:pt>
                <c:pt idx="7">
                  <c:v>0.0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ptCount val="8"/>
                <c:pt idx="0">
                  <c:v>1177.28</c:v>
                </c:pt>
                <c:pt idx="1">
                  <c:v>1177.28</c:v>
                </c:pt>
                <c:pt idx="2">
                  <c:v>930.28</c:v>
                </c:pt>
                <c:pt idx="3">
                  <c:v>930.28</c:v>
                </c:pt>
                <c:pt idx="4">
                  <c:v>247.0</c:v>
                </c:pt>
                <c:pt idx="5">
                  <c:v>247.0</c:v>
                </c:pt>
                <c:pt idx="6">
                  <c:v>0.0</c:v>
                </c:pt>
                <c:pt idx="7">
                  <c:v>0.0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ptCount val="8"/>
                <c:pt idx="0">
                  <c:v>2255.93</c:v>
                </c:pt>
                <c:pt idx="1">
                  <c:v>2255.93</c:v>
                </c:pt>
                <c:pt idx="2">
                  <c:v>2098.41</c:v>
                </c:pt>
                <c:pt idx="3">
                  <c:v>2098.41</c:v>
                </c:pt>
                <c:pt idx="4">
                  <c:v>157.52</c:v>
                </c:pt>
                <c:pt idx="5">
                  <c:v>157.52</c:v>
                </c:pt>
                <c:pt idx="6">
                  <c:v>0.0</c:v>
                </c:pt>
                <c:pt idx="7">
                  <c:v>0.0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s="http://www.wps.cn/officeDocument/2013/wpsCustomData" xmln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14</TotalTime>
  <ScaleCrop>false</ScaleCrop>
  <LinksUpToDate>false</LinksUpToDate>
  <CharactersWithSpaces>6550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2023-08-04T07:55:00Z</dcterms:created>
  <dc:creator>王明新TIAD</dc:creator>
  <cp:lastModifiedBy>柠檬哒</cp:lastModifiedBy>
  <cp:lastPrinted>2023-08-04T01:00:00Z</cp:lastPrinted>
  <dcterms:modified xsi:type="dcterms:W3CDTF">2026-07-28T09:09:29Z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