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bookmarkStart w:id="0" w:name="_GoBack"/>
      <w:bookmarkEnd w:id="0"/>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eastAsia="zh-CN" w:bidi="ar-SA"/>
                                <w14:textFill>
                                  <w14:solidFill>
                                    <w14:schemeClr w14:val="bg1"/>
                                  </w14:solidFill>
                                </w14:textFill>
                              </w:rPr>
                              <w:t>单位</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XKyc01wAAAAoBAAAPAAAAAAAA&#10;AAEAIAAAACIAAABkcnMvZG93bnJldi54bWxQSwECFAAUAAAACACHTuJAIFbv09oBAACAAwAADgAA&#10;AAAAAAABACAAAAAmAQAAZHJzL2Uyb0RvYy54bWxQSwUGAAAAAAYABgBZAQAAcgUAAAAA&#10;">
                <v:fill on="f" focussize="0,0"/>
                <v:stroke on="f"/>
                <v:imagedata o:title=""/>
                <o:lock v:ext="edit" aspectratio="f"/>
                <v:textbox>
                  <w:txbxContent>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eastAsia="zh-CN" w:bidi="ar-SA"/>
                          <w14:textFill>
                            <w14:solidFill>
                              <w14:schemeClr w14:val="bg1"/>
                            </w14:solidFill>
                          </w14:textFill>
                        </w:rPr>
                        <w:t>单位</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决算公开文本</w:t>
                      </w:r>
                    </w:p>
                  </w:txbxContent>
                </v:textbox>
              </v:shape>
            </w:pict>
          </mc:Fallback>
        </mc:AlternateContent>
      </w: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元氏县殷村镇人民政府(本级)</w:t>
      </w: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813001</w:t>
      </w: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pPr>
        <w:spacing w:line="600" w:lineRule="auto"/>
        <w:jc w:val="center"/>
        <w:rPr>
          <w:rFonts w:hint="eastAsia" w:ascii="楷体_GB2312" w:hAnsi="楷体_GB2312" w:eastAsia="楷体_GB2312" w:cs="楷体_GB2312"/>
          <w:color w:val="000000"/>
          <w:sz w:val="40"/>
          <w:szCs w:val="40"/>
        </w:rPr>
      </w:pPr>
    </w:p>
    <w:p>
      <w:pPr>
        <w:rPr>
          <w:rFonts w:hint="eastAsia" w:ascii="黑体" w:hAnsi="黑体" w:eastAsia="黑体" w:cs="黑体"/>
          <w:b/>
          <w:bCs/>
          <w:sz w:val="32"/>
          <w:szCs w:val="36"/>
          <w:highlight w:val="yellow"/>
        </w:rPr>
      </w:pPr>
    </w:p>
    <w:p>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元氏县殷村镇人民政府(本级)</w:t>
      </w:r>
    </w:p>
    <w:p>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w:t>
      </w:r>
      <w:r>
        <w:rPr>
          <w:rFonts w:hint="eastAsia" w:ascii="Times New Roman" w:eastAsia="方正小标宋_GBK"/>
          <w:b w:val="0"/>
          <w:sz w:val="72"/>
          <w:szCs w:val="72"/>
          <w:lang w:eastAsia="zh-CN"/>
        </w:rPr>
        <w:t>单位</w:t>
      </w:r>
      <w:r>
        <w:rPr>
          <w:rFonts w:ascii="Times New Roman" w:eastAsia="方正小标宋_GBK"/>
          <w:b w:val="0"/>
          <w:sz w:val="72"/>
          <w:szCs w:val="72"/>
        </w:rPr>
        <w:t>决算公开文本</w:t>
      </w:r>
    </w:p>
    <w:p>
      <w:pPr>
        <w:spacing w:line="360" w:lineRule="auto"/>
        <w:jc w:val="center"/>
        <w:rPr>
          <w:rFonts w:ascii="黑体" w:hAnsi="黑体" w:eastAsia="黑体" w:cs="黑体"/>
          <w:sz w:val="56"/>
          <w:szCs w:val="72"/>
        </w:rPr>
      </w:pPr>
    </w:p>
    <w:p>
      <w:pPr>
        <w:spacing w:line="480" w:lineRule="auto"/>
        <w:jc w:val="both"/>
        <w:rPr>
          <w:rFonts w:ascii="黑体" w:hAnsi="黑体" w:eastAsia="黑体" w:cs="黑体"/>
          <w:sz w:val="56"/>
          <w:szCs w:val="72"/>
        </w:rPr>
      </w:pPr>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元氏县殷村镇人民政府(本级)</w:t>
      </w:r>
    </w:p>
    <w:p>
      <w:pPr>
        <w:widowControl/>
        <w:spacing w:before="0" w:beforeLines="0" w:beforeAutospacing="0" w:after="0" w:afterLines="0" w:afterAutospacing="0" w:line="240" w:lineRule="auto"/>
        <w:jc w:val="center"/>
        <w:rPr>
          <w:rFonts w:ascii="Times New Roman" w:eastAsia="楷体_GB2312"/>
          <w:sz w:val="44"/>
          <w:szCs w:val="44"/>
        </w:rPr>
      </w:pPr>
      <w:r>
        <w:rPr>
          <w:rFonts w:ascii="Times New Roman" w:eastAsia="楷体_GB2312"/>
          <w:b w:val="0"/>
          <w:sz w:val="44"/>
          <w:szCs w:val="44"/>
        </w:rPr>
        <w:t>(加盖公章）</w:t>
      </w:r>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pPr>
        <w:widowControl/>
        <w:spacing w:after="160" w:line="580" w:lineRule="exact"/>
        <w:ind w:firstLine="640" w:firstLineChars="200"/>
        <w:rPr>
          <w:rFonts w:ascii="Times New Roman" w:hAnsi="Times New Roman" w:eastAsia="黑体" w:cs="Times New Roman"/>
          <w:sz w:val="32"/>
          <w:szCs w:val="32"/>
        </w:rPr>
      </w:pP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第一部分单位概况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一、单位职责</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w:t>
      </w:r>
      <w:r>
        <w:rPr>
          <w:rFonts w:hint="eastAsia" w:ascii="Times New Roman" w:eastAsia="黑体"/>
          <w:b w:val="0"/>
          <w:sz w:val="32"/>
          <w:szCs w:val="32"/>
          <w:lang w:eastAsia="zh-CN"/>
        </w:rPr>
        <w:t>单位</w:t>
      </w:r>
      <w:r>
        <w:rPr>
          <w:rFonts w:ascii="Times New Roman" w:eastAsia="黑体"/>
          <w:b w:val="0"/>
          <w:sz w:val="32"/>
          <w:szCs w:val="32"/>
        </w:rPr>
        <w:t>决算报表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w:t>
      </w:r>
      <w:r>
        <w:rPr>
          <w:rFonts w:hint="eastAsia" w:ascii="Times New Roman" w:eastAsia="黑体"/>
          <w:b w:val="0"/>
          <w:sz w:val="32"/>
          <w:szCs w:val="32"/>
          <w:lang w:eastAsia="zh-CN"/>
        </w:rPr>
        <w:t>单位</w:t>
      </w:r>
      <w:r>
        <w:rPr>
          <w:rFonts w:ascii="Times New Roman" w:eastAsia="黑体"/>
          <w:b w:val="0"/>
          <w:sz w:val="32"/>
          <w:szCs w:val="32"/>
        </w:rPr>
        <w:t>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第一部分单位概况</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一、单位职责</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w:t>
      </w:r>
      <w:r>
        <w:rPr>
          <w:rFonts w:hint="eastAsia" w:ascii="Times New Roman" w:eastAsia="仿宋_GB2312"/>
          <w:b w:val="0"/>
          <w:sz w:val="32"/>
          <w:szCs w:val="32"/>
          <w:lang w:eastAsia="zh-CN"/>
        </w:rPr>
        <w:t>单位</w:t>
      </w:r>
      <w:r>
        <w:rPr>
          <w:rFonts w:ascii="Times New Roman" w:eastAsia="仿宋_GB2312"/>
          <w:b w:val="0"/>
          <w:sz w:val="32"/>
          <w:szCs w:val="32"/>
        </w:rPr>
        <w:t>决算汇编范围的独立核算单位（以下简称“单位”）共个，具体情况如下：</w:t>
      </w:r>
    </w:p>
    <w:tbl>
      <w:tblPr>
        <w:tblStyle w:val="11"/>
        <w:tblpPr w:leftFromText="180" w:rightFromText="180" w:vertAnchor="text" w:horzAnchor="page" w:tblpXSpec="center" w:tblpY="10"/>
        <w:tblOverlap w:val="never"/>
        <w:tblW w:w="958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1" w:hRule="atLeast"/>
          <w:jc w:val="center"/>
        </w:trPr>
        <w:tc>
          <w:tcPr>
            <w:tcW w:w="9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6" w:hRule="atLeast"/>
          <w:jc w:val="center"/>
        </w:trPr>
        <w:tc>
          <w:tcPr>
            <w:tcW w:w="98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元氏县殷村镇人民政府(本级)</w:t>
            </w:r>
          </w:p>
        </w:tc>
        <w:tc>
          <w:tcPr>
            <w:tcW w:w="2445" w:type="dxa"/>
          </w:tcPr>
          <w:p>
            <w:pPr>
              <w:spacing w:line="560" w:lineRule="exact"/>
              <w:jc w:val="center"/>
              <w:rPr>
                <w:rFonts w:ascii="仿宋_GB2312" w:hAnsi="Calibri" w:eastAsia="仿宋_GB2312" w:cs="ArialUnicodeMS"/>
                <w:kern w:val="0"/>
                <w:sz w:val="28"/>
                <w:szCs w:val="28"/>
              </w:rPr>
            </w:pPr>
          </w:p>
        </w:tc>
        <w:tc>
          <w:tcPr>
            <w:tcW w:w="266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p>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w:t>
      </w:r>
      <w:r>
        <w:rPr>
          <w:rFonts w:hint="eastAsia" w:ascii="Times New Roman" w:eastAsia="黑体"/>
          <w:b w:val="0"/>
          <w:sz w:val="44"/>
          <w:szCs w:val="44"/>
          <w:lang w:eastAsia="zh-CN"/>
        </w:rPr>
        <w:t>单位</w:t>
      </w:r>
      <w:r>
        <w:rPr>
          <w:rFonts w:ascii="Times New Roman" w:eastAsia="黑体"/>
          <w:b w:val="0"/>
          <w:sz w:val="44"/>
          <w:szCs w:val="44"/>
        </w:rPr>
        <w:t>决算表</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bidi w:val="0"/>
        <w:rPr>
          <w:rFonts w:hint="default"/>
          <w:lang w:val="en-US" w:eastAsia="zh-CN"/>
        </w:rPr>
      </w:pPr>
    </w:p>
    <w:p>
      <w:pPr>
        <w:bidi w:val="0"/>
        <w:rPr>
          <w:rFonts w:hint="default"/>
          <w:lang w:val="en-US" w:eastAsia="zh-CN"/>
        </w:rPr>
      </w:pPr>
    </w:p>
    <w:tbl>
      <w:tblPr>
        <w:tblStyle w:val="11"/>
        <w:tblW w:w="11659" w:type="dxa"/>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361" w:hRule="atLeast"/>
        </w:trPr>
        <w:tc>
          <w:tcPr>
            <w:tcW w:w="11625" w:type="dxa"/>
            <w:gridSpan w:val="8"/>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357" w:hRule="atLeast"/>
        </w:trPr>
        <w:tc>
          <w:tcPr>
            <w:tcW w:w="11625" w:type="dxa"/>
            <w:gridSpan w:val="8"/>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351" w:hRule="atLeast"/>
        </w:trPr>
        <w:tc>
          <w:tcPr>
            <w:tcW w:w="4581" w:type="dxa"/>
            <w:gridSpan w:val="3"/>
            <w:tcBorders>
              <w:top w:val="nil"/>
              <w:left w:val="nil"/>
              <w:bottom w:val="single" w:color="000000" w:themeColor="text1" w:sz="8" w:space="0"/>
              <w:right w:val="nil"/>
            </w:tcBorders>
            <w:noWrap/>
            <w:vAlign w:val="bottom"/>
          </w:tcPr>
          <w:p>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单位（单位）：元氏县殷村镇人民政府(本级)</w:t>
            </w:r>
          </w:p>
        </w:tc>
        <w:tc>
          <w:tcPr>
            <w:tcW w:w="2945" w:type="dxa"/>
            <w:gridSpan w:val="2"/>
            <w:tcBorders>
              <w:top w:val="nil"/>
              <w:left w:val="nil"/>
              <w:bottom w:val="single" w:color="000000" w:themeColor="text1" w:sz="8" w:space="0"/>
              <w:right w:val="nil"/>
            </w:tcBorders>
            <w:noWrap/>
            <w:vAlign w:val="bottom"/>
          </w:tcPr>
          <w:p>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4099" w:type="dxa"/>
            <w:gridSpan w:val="3"/>
            <w:tcBorders>
              <w:top w:val="nil"/>
              <w:left w:val="nil"/>
              <w:bottom w:val="single" w:color="000000" w:themeColor="text1" w:sz="8" w:space="0"/>
              <w:right w:val="nil"/>
            </w:tcBorders>
            <w:noWrap/>
            <w:vAlign w:val="bottom"/>
          </w:tcPr>
          <w:p>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544" w:hRule="atLeast"/>
        </w:trPr>
        <w:tc>
          <w:tcPr>
            <w:tcW w:w="5735"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589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308"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2,098.41</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605.70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157.52</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56.25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28.08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1,364.51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539"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681"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780"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90"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539"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43.87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157.52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2,255.93</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2,255.93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308"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2,255.93</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2,255.93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1659" w:type="dxa"/>
            <w:gridSpan w:val="9"/>
            <w:tcBorders>
              <w:top w:val="nil"/>
              <w:left w:val="nil"/>
              <w:bottom w:val="nil"/>
              <w:right w:val="nil"/>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注：1.本表反映单位本年度的总收支和年末结转结余情况。</w:t>
            </w:r>
          </w:p>
          <w:p>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单位（单位）：元氏县殷村镇人民政府(本级)                                                                                                         </w:t>
            </w:r>
          </w:p>
        </w:tc>
        <w:tc>
          <w:tcPr>
            <w:tcW w:w="3405" w:type="dxa"/>
            <w:gridSpan w:val="4"/>
            <w:tcBorders>
              <w:top w:val="nil"/>
              <w:left w:val="nil"/>
              <w:bottom w:val="single" w:color="000000" w:themeColor="text1" w:sz="8" w:space="0"/>
              <w:right w:val="nil"/>
            </w:tcBorders>
            <w:noWrap/>
            <w:vAlign w:val="bottom"/>
          </w:tcPr>
          <w:p>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2,255.93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2,255.93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605.70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605.70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政府办公厅（室）及相关机构事务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605.70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605.70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2010301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473.71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473.71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2010302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131.99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131.99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56.25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56.25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45.45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45.45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44.03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44.03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机关事业单位职业年金缴费支出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退役安置</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10.80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10.80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2080901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退役士兵安置</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10.80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10.80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公务员医疗补助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9.01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9.01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农林水支出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1,364.51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1,364.51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农业农村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1,080.76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1,080.76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2130126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农村社会事业</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其他农业农村支出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1,050.76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1,050.76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农村综合改革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283.75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283.75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2130705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对村民委员会和村党支部的补助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283.75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283.75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43.87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43.87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43.87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43.87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43.87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43.87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157.52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157.52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其他政府性基金及对应专项债务收入安排的支出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157.52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157.52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2290402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其他地方自行试点项目收益专项债券收入安排的支出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157.52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157.52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注：本表反映单位本年度取得的各项收入情况。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346"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0" w:hRule="atLeast"/>
          <w:jc w:val="center"/>
        </w:trPr>
        <w:tc>
          <w:tcPr>
            <w:tcW w:w="9346" w:type="dxa"/>
            <w:gridSpan w:val="10"/>
            <w:tcBorders>
              <w:top w:val="nil"/>
              <w:left w:val="nil"/>
              <w:bottom w:val="nil"/>
              <w:right w:val="nil"/>
            </w:tcBorders>
            <w:noWrap/>
            <w:vAlign w:val="bottom"/>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9346" w:type="dxa"/>
            <w:gridSpan w:val="10"/>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3481" w:type="dxa"/>
            <w:gridSpan w:val="4"/>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单位（单位）：元氏县殷村镇人民政府(本级)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2623" w:type="dxa"/>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3242" w:type="dxa"/>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jc w:val="center"/>
        </w:trPr>
        <w:tc>
          <w:tcPr>
            <w:tcW w:w="222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128"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1126"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12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1126"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112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148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8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2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4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112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4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112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4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222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222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2,255.93</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591.11</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1,664.82</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605.70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473.71</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131.99</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政府办公厅（室）及相关机构事务</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605.70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473.71</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131.99</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473.71</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473.71</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2010302</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131.99</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131.99</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56.25</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45.45</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10.80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45.45</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45.45</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44.03</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44.03</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2080506</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机关事业单位职业年金缴费支出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1.42</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1.42</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退役安置</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10.80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10.80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退役士兵安置</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10.80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10.80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28.08</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28.08</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28.08</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28.08</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19.08</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19.08</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9.01</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9.01</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农林水支出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1,364.51</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1,364.51</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农业农村</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1,080.76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1,080.76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2130126</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农村社会事业</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2130199</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其他农业农村支出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1,050.76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1,050.76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21307</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农村综合改革</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283.75</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283.75</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2130705</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对村民委员会和村党支部的补助</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283.75</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283.75</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43.87</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43.87</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43.87</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43.87</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43.87</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43.87</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157.52</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157.52</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其他政府性基金及对应专项债务收入安排的支出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157.52</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157.52</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2290402</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其他地方自行试点项目收益专项债券收入安排的支出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157.52</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157.52</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9346" w:type="dxa"/>
            <w:gridSpan w:val="10"/>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注：本表反映单位本年度各项支出情况。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709" w:type="dxa"/>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0" w:hRule="atLeast"/>
        </w:trPr>
        <w:tc>
          <w:tcPr>
            <w:tcW w:w="11709" w:type="dxa"/>
            <w:gridSpan w:val="11"/>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11709" w:type="dxa"/>
            <w:gridSpan w:val="11"/>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5694" w:type="dxa"/>
            <w:gridSpan w:val="4"/>
            <w:tcBorders>
              <w:top w:val="nil"/>
              <w:left w:val="nil"/>
              <w:bottom w:val="single" w:color="000000" w:themeColor="text1" w:sz="8" w:space="0"/>
              <w:right w:val="nil"/>
            </w:tcBorders>
            <w:noWrap/>
            <w:vAlign w:val="bottom"/>
          </w:tcPr>
          <w:p>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单位（单位）：元氏县殷村镇人民政府(本级)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521" w:type="dxa"/>
            <w:gridSpan w:val="3"/>
            <w:tcBorders>
              <w:top w:val="nil"/>
              <w:left w:val="nil"/>
              <w:bottom w:val="single" w:color="000000" w:themeColor="text1" w:sz="8" w:space="0"/>
              <w:right w:val="nil"/>
            </w:tcBorders>
            <w:noWrap/>
            <w:vAlign w:val="bottom"/>
          </w:tcPr>
          <w:p>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4494" w:type="dxa"/>
            <w:gridSpan w:val="4"/>
            <w:tcBorders>
              <w:top w:val="nil"/>
              <w:left w:val="nil"/>
              <w:bottom w:val="single" w:color="000000" w:themeColor="text1" w:sz="8" w:space="0"/>
              <w:right w:val="nil"/>
            </w:tcBorders>
            <w:noWrap/>
            <w:vAlign w:val="bottom"/>
          </w:tcPr>
          <w:p>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4035"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7674" w:type="dxa"/>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198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62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14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2098"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1295"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1219"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1219"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1219"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198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4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098"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295"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1219"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1219"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1219"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2,098.41</w:t>
            </w: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605.70</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605.70</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157.52</w:t>
            </w: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56.25</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56.25</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28.08</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28.08</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1,364.51</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1,364.51</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6"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41"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43.87</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43.87</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157.52</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157.52</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b/>
                <w:bCs/>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2,255.93</w:t>
            </w: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2,255.93</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2,098.41</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157.52</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both"/>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both"/>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2,255.93</w:t>
            </w: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2,255.93</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cs="Times New Roman"/>
                <w:sz w:val="20"/>
                <w:szCs w:val="20"/>
                <w:highlight w:val="none"/>
              </w:rPr>
            </w:pPr>
          </w:p>
          <w:p>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2,098.41</w:t>
            </w:r>
          </w:p>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157.52</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1709" w:type="dxa"/>
            <w:gridSpan w:val="11"/>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注：本表反映单位本年度一般公共预算财政拨款、政府性基金预算财政拨款和国有资本经营预算财政拨款的总收支和年末结转结余情况。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8697" w:type="dxa"/>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93"/>
        <w:gridCol w:w="1352"/>
        <w:gridCol w:w="743"/>
        <w:gridCol w:w="1374"/>
        <w:gridCol w:w="1439"/>
        <w:gridCol w:w="679"/>
        <w:gridCol w:w="211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57" w:hRule="atLeast"/>
        </w:trPr>
        <w:tc>
          <w:tcPr>
            <w:tcW w:w="8697" w:type="dxa"/>
            <w:gridSpan w:val="7"/>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29" w:hRule="atLeast"/>
        </w:trPr>
        <w:tc>
          <w:tcPr>
            <w:tcW w:w="8697" w:type="dxa"/>
            <w:gridSpan w:val="7"/>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29" w:hRule="atLeast"/>
        </w:trPr>
        <w:tc>
          <w:tcPr>
            <w:tcW w:w="3088" w:type="dxa"/>
            <w:gridSpan w:val="3"/>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单位（单位）：元氏县殷村镇人民政府(本级)</w:t>
            </w:r>
          </w:p>
        </w:tc>
        <w:tc>
          <w:tcPr>
            <w:tcW w:w="2813" w:type="dxa"/>
            <w:gridSpan w:val="2"/>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796" w:type="dxa"/>
            <w:gridSpan w:val="2"/>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2345" w:type="dxa"/>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352" w:type="dxa"/>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9" w:hRule="atLeast"/>
        </w:trPr>
        <w:tc>
          <w:tcPr>
            <w:tcW w:w="993" w:type="dxa"/>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1352"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2117"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2118"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2117" w:type="dxa"/>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46" w:hRule="atLeast"/>
        </w:trPr>
        <w:tc>
          <w:tcPr>
            <w:tcW w:w="993" w:type="dxa"/>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352"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2117"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2118"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2117" w:type="dxa"/>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9" w:hRule="atLeast"/>
        </w:trPr>
        <w:tc>
          <w:tcPr>
            <w:tcW w:w="993" w:type="dxa"/>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352"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2117"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2118"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2117" w:type="dxa"/>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9" w:hRule="atLeast"/>
        </w:trPr>
        <w:tc>
          <w:tcPr>
            <w:tcW w:w="2345" w:type="dxa"/>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9" w:hRule="atLeast"/>
        </w:trPr>
        <w:tc>
          <w:tcPr>
            <w:tcW w:w="2345" w:type="dxa"/>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2,098.41</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591.11</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1,507.30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605.70</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473.71</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政府办公厅（室）及相关机构事务</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605.70</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473.71</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2010301</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473.71</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473.71</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2010302</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131.99</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56.25</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45.45</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45.45</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45.45</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44.03</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44.03</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2080506</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机关事业单位职业年金缴费支出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1.42</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1.42</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退役安置</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10.80</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2080901</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退役士兵安置</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10.80</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28.08</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28.08</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28.08</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28.08</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19.08</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19.08</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9.01</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9.01</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农林水支出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1,364.51</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1,364.51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农业农村</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1,080.76</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1,080.76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2130126</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农村社会事业</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30.00</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2130199</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其他农业农村支出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1,050.76</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1,050.76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21307</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农村综合改革</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283.75</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283.75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2130705</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对村民委员会和村党支部的补助</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283.75</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283.75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43.87</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43.87</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43.87</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43.87</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43.87</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43.87</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8697" w:type="dxa"/>
            <w:gridSpan w:val="7"/>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注：本表反映单位本年度一般公共预算财政拨款支出情况。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单位（单位）：元氏县殷村镇人民政府(本级)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519.39</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55.99</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205.66</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3.66</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110.83</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67.96</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15.90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44.03</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17.09</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1.42</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19.08</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9.01</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1.65</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43.87</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15.72</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11.92</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3.80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1.89</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2.72</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0.89</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29.60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0.15</w:t>
            </w:r>
          </w:p>
        </w:tc>
        <w:tc>
          <w:tcPr>
            <w:tcW w:w="666" w:type="dxa"/>
            <w:tcBorders>
              <w:top w:val="nil"/>
              <w:left w:val="nil"/>
              <w:bottom w:val="single" w:color="000000" w:sz="8" w:space="0"/>
              <w:right w:val="single" w:color="000000" w:sz="8" w:space="0"/>
            </w:tcBorders>
            <w:shd w:val="clear" w:color="auto" w:fill="auto"/>
            <w:noWrap/>
            <w:vAlign w:val="center"/>
          </w:tcPr>
          <w:p>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535.11</w:t>
            </w:r>
          </w:p>
        </w:tc>
        <w:tc>
          <w:tcPr>
            <w:tcW w:w="5811" w:type="dxa"/>
            <w:gridSpan w:val="6"/>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55.99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注：本表反映单位本年度一般公共预算财政拨款基本支出明细情况。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0480" w:type="dxa"/>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0" w:hRule="atLeast"/>
        </w:trPr>
        <w:tc>
          <w:tcPr>
            <w:tcW w:w="10480" w:type="dxa"/>
            <w:gridSpan w:val="9"/>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0" w:hRule="atLeast"/>
        </w:trPr>
        <w:tc>
          <w:tcPr>
            <w:tcW w:w="10480" w:type="dxa"/>
            <w:gridSpan w:val="9"/>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4040" w:type="dxa"/>
            <w:gridSpan w:val="3"/>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单位（单位）：元氏县殷村镇人民政府(本级)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2552" w:type="dxa"/>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3888" w:type="dxa"/>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273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30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3373"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2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12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47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30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0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20"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14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2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12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47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0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0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2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4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12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47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0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0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2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4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273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2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69" w:hRule="atLeast"/>
        </w:trPr>
        <w:tc>
          <w:tcPr>
            <w:tcW w:w="273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157.52</w:t>
            </w: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157.52</w:t>
            </w: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157.52</w:t>
            </w:r>
          </w:p>
        </w:tc>
        <w:tc>
          <w:tcPr>
            <w:tcW w:w="2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w:t>
            </w:r>
          </w:p>
        </w:tc>
        <w:tc>
          <w:tcPr>
            <w:tcW w:w="147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其他支出</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157.52</w:t>
            </w: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157.52</w:t>
            </w: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157.52</w:t>
            </w:r>
          </w:p>
        </w:tc>
        <w:tc>
          <w:tcPr>
            <w:tcW w:w="2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w:t>
            </w:r>
          </w:p>
        </w:tc>
        <w:tc>
          <w:tcPr>
            <w:tcW w:w="147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其他政府性基金及对应专项债务收入安排的支出</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157.52</w:t>
            </w: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157.52</w:t>
            </w: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157.52</w:t>
            </w:r>
          </w:p>
        </w:tc>
        <w:tc>
          <w:tcPr>
            <w:tcW w:w="2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2290402</w:t>
            </w:r>
          </w:p>
        </w:tc>
        <w:tc>
          <w:tcPr>
            <w:tcW w:w="147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其他地方自行试点项目收益专项债券收入安排的支出</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157.52</w:t>
            </w: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157.52</w:t>
            </w: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157.52</w:t>
            </w:r>
          </w:p>
        </w:tc>
        <w:tc>
          <w:tcPr>
            <w:tcW w:w="2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0480" w:type="dxa"/>
            <w:gridSpan w:val="9"/>
            <w:tcBorders>
              <w:top w:val="single" w:color="000000" w:themeColor="text1" w:sz="8" w:space="0"/>
              <w:left w:val="nil"/>
              <w:bottom w:val="nil"/>
              <w:right w:val="nil"/>
            </w:tcBorders>
            <w:noWrap/>
            <w:vAlign w:val="center"/>
          </w:tcPr>
          <w:p>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注：本表反映单位本年度政府性基金预算财政拨款收入、支出及结转和结余情况。</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428" w:type="dxa"/>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0" w:hRule="atLeast"/>
        </w:trPr>
        <w:tc>
          <w:tcPr>
            <w:tcW w:w="9428" w:type="dxa"/>
            <w:gridSpan w:val="9"/>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9428" w:type="dxa"/>
            <w:gridSpan w:val="9"/>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3724" w:type="dxa"/>
            <w:gridSpan w:val="2"/>
            <w:tcBorders>
              <w:top w:val="nil"/>
              <w:left w:val="nil"/>
              <w:bottom w:val="single" w:color="000000" w:themeColor="text1" w:sz="8" w:space="0"/>
              <w:right w:val="nil"/>
            </w:tcBorders>
            <w:noWrap/>
            <w:vAlign w:val="bottom"/>
          </w:tcPr>
          <w:p>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单位（单位）：元氏县殷村镇人民政府(本级)</w:t>
            </w:r>
          </w:p>
        </w:tc>
        <w:tc>
          <w:tcPr>
            <w:tcW w:w="2680" w:type="dxa"/>
            <w:gridSpan w:val="4"/>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3024" w:type="dxa"/>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5020" w:type="dxa"/>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4408" w:type="dxa"/>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5020" w:type="dxa"/>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4408" w:type="dxa"/>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2993"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2027"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1337"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1338" w:type="dxa"/>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1733" w:type="dxa"/>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2993"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027"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37"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38" w:type="dxa"/>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733" w:type="dxa"/>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502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133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1333"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1743" w:type="dxa"/>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502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133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33"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743" w:type="dxa"/>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9428" w:type="dxa"/>
            <w:gridSpan w:val="9"/>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注：本表反映单位本年度国有资本经营预算财政拨款支出情况。（如无相关数据，则需注明空表列示）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1159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0" w:hRule="atLeast"/>
        </w:trPr>
        <w:tc>
          <w:tcPr>
            <w:tcW w:w="11596" w:type="dxa"/>
            <w:gridSpan w:val="14"/>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60" w:hRule="atLeast"/>
        </w:trPr>
        <w:tc>
          <w:tcPr>
            <w:tcW w:w="11596" w:type="dxa"/>
            <w:gridSpan w:val="14"/>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60" w:hRule="atLeast"/>
        </w:trPr>
        <w:tc>
          <w:tcPr>
            <w:tcW w:w="4492" w:type="dxa"/>
            <w:gridSpan w:val="5"/>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单位（单位）：元氏县殷村镇人民政府(本级)</w:t>
            </w:r>
          </w:p>
        </w:tc>
        <w:tc>
          <w:tcPr>
            <w:tcW w:w="2166" w:type="dxa"/>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4938" w:type="dxa"/>
            <w:gridSpan w:val="6"/>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1" w:hRule="atLeast"/>
        </w:trPr>
        <w:tc>
          <w:tcPr>
            <w:tcW w:w="5813" w:type="dxa"/>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5783" w:type="dxa"/>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1" w:hRule="atLeast"/>
        </w:trPr>
        <w:tc>
          <w:tcPr>
            <w:tcW w:w="98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122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2823"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77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850"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1133"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2613"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118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1" w:hRule="atLeast"/>
        </w:trPr>
        <w:tc>
          <w:tcPr>
            <w:tcW w:w="9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12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81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106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77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85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1133"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6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11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1" w:hRule="atLeast"/>
        </w:trPr>
        <w:tc>
          <w:tcPr>
            <w:tcW w:w="9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12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81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106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77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8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113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6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1" w:hRule="atLeast"/>
        </w:trPr>
        <w:tc>
          <w:tcPr>
            <w:tcW w:w="9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2.60</w:t>
            </w:r>
          </w:p>
        </w:tc>
        <w:tc>
          <w:tcPr>
            <w:tcW w:w="12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81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2.60</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106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2.60</w:t>
            </w:r>
          </w:p>
        </w:tc>
        <w:tc>
          <w:tcPr>
            <w:tcW w:w="77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8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0.89</w:t>
            </w:r>
          </w:p>
        </w:tc>
        <w:tc>
          <w:tcPr>
            <w:tcW w:w="113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6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0.89</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0.89</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1" w:hRule="atLeast"/>
        </w:trPr>
        <w:tc>
          <w:tcPr>
            <w:tcW w:w="11596" w:type="dxa"/>
            <w:gridSpan w:val="14"/>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注：本表反映单位本年度财政拨款“三公”经费支出预决算情况。其中：预算数为“三公”经费全年预算数，反映按规定程序调整后的预算数；决算数是包括当年财政拨款和以前年度结转资金安排的实际支出。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w:t>
      </w:r>
      <w:r>
        <w:rPr>
          <w:rFonts w:hint="eastAsia" w:ascii="Times New Roman" w:eastAsia="黑体"/>
          <w:b w:val="0"/>
          <w:sz w:val="44"/>
          <w:szCs w:val="44"/>
          <w:lang w:eastAsia="zh-CN"/>
        </w:rPr>
        <w:t>单位</w:t>
      </w:r>
      <w:r>
        <w:rPr>
          <w:rFonts w:ascii="Times New Roman" w:eastAsia="黑体"/>
          <w:b w:val="0"/>
          <w:sz w:val="44"/>
          <w:szCs w:val="44"/>
        </w:rPr>
        <w:t>决算情况说明</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本单位2025年度收、支总计（含结转和结余）均为2,255.93万元。与2024年度决算相比，收支各增加1,289.46万元，增长133.4%，主要原因是增加了改厕工程款和殷村镇片区环境提升项目等。</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收入合计2,255.93万元，其中：财政拨款收入2,255.93万元，占100.0%；上级补助收入0.00万元，占0.0%；事业收入0.00万元，占0.0%；经营收入0.00万元，占0.0%；附属单位上缴收入0.00万元，占0.0%；其他收入0.00万元，占0.0%。</w:t>
      </w:r>
    </w:p>
    <w:p>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本单位2025年度本年支出合计2,255.93万元，其中：基本支出591.11万元，占26.2%；项目支出1,664.82万元，占73.8%；经营支出0.00万元，占0.0%；上缴上级支出0.00万元，占0.0%；对附属单位补助支出0.00万元，占0.0%。</w:t>
      </w:r>
    </w:p>
    <w:p>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本单位2025年度财政拨款收、支总计（含结转和结余）均为2,255.93万元。与2024年度相比，财政拨款收支各增加1,289.46万元，增长133.4%，主要原因是增加了改厕工程款和殷村镇片区环境提升项目等。</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2,255.93万元,比上年增加1,289.46万元，增长133.4%，主要原因是增加了改厕工程款和殷村镇片区环境提升项目等；本年支出2,255.93万元，比上年增加1,289.46万元，增长133.4%，主要原因是增加了改厕工程款和殷村镇片区环境提升项目等。具体情况如下：</w:t>
      </w:r>
    </w:p>
    <w:p>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2,098.41万元,比上年增加1,163.26万元，增长124.4%，主要原因是增加了改厕工程款和殷村镇片区环境提升项目等；本年支出2,098.41万元，比上年增加1,163.26万元，增长124.4%，主要原因是增加了改厕工程款和殷村镇片区环境提升项目等。</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157.52万元，比上年增加126.20万元，增长402.9%，主要原因是增加了殷村镇元大线两侧面貌提升政治项目、殷村镇主干道违建拆除、杂草清理等项目；本年支出157.52万元，比上年增加126.20万元，增长402.9%，主要原因是增加了殷村镇元大线两侧面貌提升政治项目、殷村镇主干道违建拆除、杂草清理等项目。</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国有资本经营预算财政拨款本年收入0.00万元，比上年增加0.00万元，增长0.00%，主要原因是无变化；本年支出0.00万元，比上年增加0.00万元，增长0.00%，主要原因是无变化。</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2,255.93万元，完成年初预算的191.6%，比年初预算增加1,078.65万元，决算数大于预算数主要原因是增加了改厕工程款和殷村镇片区环境提升项目等；本年支出2,255.93万元，完成年初预算的191.6%，比年初预算增加1,078.65万元，决算数大于预算数主要原因是增加了改厕工程款和殷村镇片区环境提升项目等。具体情况如下：</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225.6%，比年初预算增加1,168.13万元，主要原因是增加了改厕工程款和殷村镇片区环境提升项目等；支出完成年初预算的225.6%，比年初预算增加1,168.13万元，主要原因是增加了改厕工程款和殷村镇片区环境提升项目等。</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63.8%，比年初预算减少89.48万元，主要原因是人居环境支出和基础设施建设等项目；支出完成年初预算的63.8%，比年初预算减少89.48万元，主要原因是人居环境支出和基础设施建设等项目。</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国有资本经营预算财政拨款本年收入完成年初预算的0.0%，比年初预算增加0.00万元，主要原因是无变化；支出完成年初预算的0.0%，比年初预算增加0.00万元，主要原因是无变化。</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2025年度财政拨款支出2,255.93万元，主要用于以下方面：</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一般公共服务（类）支出605.70万元，占26.8%，主要用于人 员经费、乡镇经费等支出；外交（类）支出0.00万元，占0.0%，主要用于等支出；国防（类）支出0.00万元，占0.0%，主要用于等支出；公共安全类（类）支出0.00万元，占0.0%，主要用于等支出；教育（类）支出0.00万元，占0.0%，主要用于等支出；科学技术（类）支出0.00万元，占0.0%，主要用于等支出；文化旅游体育与传媒（类）支出0.00万元，占0.0%，主要用于等支出；社会保障和就业 （类）支出56.25万元，占2.5%，主要用于养老保险等支出；卫生健康（类）支出28.08万元，占1.2%，主要用于医疗保险等支出；节能环保（类）支出0.00万元，占0.0%，主要用于等支出；城乡社区（类）支出0.00万元，占0.0%，主要用于等支出；农林水（类）支出1,364.51万元，占60.5%，主要用于村级经费、村干部报酬、基础设施建设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43.87万元，占1.9%，主要用于住房公积金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类）支出0.00万元，占0.0%，主要用于等支出；教育（类）支出0.00万元，占0.0%，主要用于等支出；科学技术（类）支出0.00万元，占0.0%，主要用于等支出；文化旅游体育与传媒（类）支出0.00万元，占0.0%，主要用于等支出；社会保障和就业 （类）支出0.00万元，占0.0%，主要用于等支出；卫生健康（类）支出0.00万元，占0.0%，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灾害防治及应急管理（类）支出0.00万元，占0.0%，主要用于等支出；其他（类）支出157.52万元，占7.0%，主要用于基础设施建设等支出；债务还本（类）支出0.00万元，占0.0%，主要用于等支出；债务付息（类）支出0.00万元，占0.0%，主要用于等支出；抗疫特别国债安排的支出0.00万元，占0.00%，主要用于等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国有资本经营预算财政拨款支出：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支出0.00万元，占0.0%，主要用于等支出；教育（类）支出0.00万元，占0.0%，主要用于等支出；科学技术（类）支出0.00万元，占0.0%，主要用于等支出；文化旅游体育与传媒（类）支出0.00万元，占0.0%，主要用于等支出；社会保障和就业 （类）支出0.00万元，占0.0%，主要用于等支出；卫生健康（类）支出0.00万元，占0.0%，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2025年度财政拨款基本支出591.11万元，其中：</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人员经费535.11万元，主要包括基本工资、津贴补贴、奖金、伙食补助费、绩效工资、机关事业</w:t>
      </w:r>
      <w:r>
        <w:rPr>
          <w:rFonts w:hint="eastAsia" w:ascii="Times New Roman" w:eastAsia="仿宋_GB2312"/>
          <w:b w:val="0"/>
          <w:sz w:val="32"/>
          <w:szCs w:val="32"/>
          <w:lang w:eastAsia="zh-CN"/>
        </w:rPr>
        <w:t>单位</w:t>
      </w:r>
      <w:r>
        <w:rPr>
          <w:rFonts w:ascii="Times New Roman" w:eastAsia="仿宋_GB2312"/>
          <w:b w:val="0"/>
          <w:sz w:val="32"/>
          <w:szCs w:val="32"/>
        </w:rPr>
        <w:t>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55.99万元，主要包括办公费、印刷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三公”经费财政拨款支出预算为2.60万元，支出决算为0.89万元，完成预算的34.2%，较预算减少1.71万元，降低65.8%，主要原因是公务车损毁，不具备继续上路行驶条件，按程序完成报废处置；较2024年度决算减少1.71万元，降低65.8%，主要原因是公务车损毁，不具备继续上路行驶条件，按程序完成报废处置。</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单位2025年度因公出国（境）费支出预算为0.00万元,支出决算0.00万元。完成预算的0.0%。因公出国（境）费支出较预算增加0.00万元，增长0.0%,主要原因是；较上年增加0.00万元，增长0.00%,主要原因是。因公出国（境）团组0个、共0人、参加其他单位组织的因公出国（境）团组个、共人/无本</w:t>
      </w:r>
      <w:r>
        <w:rPr>
          <w:rFonts w:hint="eastAsia" w:ascii="Times New Roman" w:eastAsia="仿宋_GB2312"/>
          <w:b w:val="0"/>
          <w:sz w:val="32"/>
          <w:szCs w:val="32"/>
          <w:lang w:eastAsia="zh-CN"/>
        </w:rPr>
        <w:t>单位</w:t>
      </w:r>
      <w:r>
        <w:rPr>
          <w:rFonts w:ascii="Times New Roman" w:eastAsia="仿宋_GB2312"/>
          <w:b w:val="0"/>
          <w:sz w:val="32"/>
          <w:szCs w:val="32"/>
        </w:rPr>
        <w:t>组织的出国（境）团组。</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单位2025年度公务用车购置及运行维护费预算为2.60万元，支出决算0.89万元，完成预算的34.2%,较预算减少1.71万元，降低65.8%,主要原因是公务车损毁，不具备继续上路行驶条件，按程序完成报废处置；较上年减少1.71万元，降低65.8%,主要原因是公务车损毁，不具备继续上路行驶条件，按程序完成报废处置。其中：</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b w:val="0"/>
          <w:sz w:val="32"/>
          <w:szCs w:val="32"/>
        </w:rPr>
        <w:t>本单位2025年度公务用车购置量0辆，发生“公务用车购置”经费支出0.00万元。公务用车购置费支出较预算增加0.00万元，增长0.0%,主要原因是；较上年增加0.00万元，增长0.00%,主要原因是。</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公务用车运行维护费支出0.89万元：</w:t>
      </w:r>
      <w:r>
        <w:rPr>
          <w:rFonts w:ascii="Times New Roman" w:eastAsia="仿宋_GB2312"/>
          <w:b w:val="0"/>
          <w:sz w:val="32"/>
          <w:szCs w:val="32"/>
        </w:rPr>
        <w:t>本单位2025年度单位公务用车保有量1辆，发生运行维护费支出0.89万元。公车运行维护费支出较预算减少1.71万元，降低65.8%,主要原因是公务车损毁，不具备继续上路行驶条件，按程序完成报废处置；较上年减少1.71万元，降低65.8%，主要原因是公务车损毁，不具备继续上路行驶条件，按程序完成报废处置。</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单位2025年度公务接待费支出预算为0.00万元，支出决算0.00万元，完成预算的0.0%。公务接待费支出较预算增加0.00万元，增长0.0%,主要原因是；较上年度增加0.00万元，增长0.00%,主要原因是。本年度共发生公务接待0批次、0人次。</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本单位2025年度机关运行经费支出55.99万元，较2024年度减少3.92万元，降低6.6%。主要原因是福利费减少。</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政府采购支出总额0.00万元，从采购类型来看，政府采购货物支出0.00万元、政府采购工程支出0.00万元、政府采购服务支出0.00万元。授予中小企业合同金额0.00万元，占政府采购支出总额的0.0%，其中授予小微企业合同金额0.00万元，占政府采购支出总额的0.0%。</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单位共有车辆0辆，比上年减少1辆，主要是公务车损毁，不具备继续上路行驶条件，按程序完成报废处置。其中，副部（省）级及以上领导用车0辆，主要负责人用车0辆，机要通信用车0辆，应急保障用车0辆，执法执勤用车0辆，特种专业技术用车0辆，离退休干部用车0辆，其他用车0辆，其他用车主要是无变化。单位价值100万元（含）以上设备（不含车辆）0台（套）。</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单位组织对2025年度本级预算项目支出全面开展绩效自评，共涉及资金2,255.93万元（决算金额）。其中，一般公共预算项目45个，涉及资金1,507.3万元，占一般公共预算项目支出总额的100%；政府性基金预算项目7个，涉及资金157.52万元，占政府性基金预算项目支出总额的100%；国有资本经营预算项目0个，涉及资金0万元，占国有资本经营预算项目支出总额的0%。</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组织对宗教重点村党建工作经费等1个项目开展了</w:t>
      </w:r>
      <w:r>
        <w:rPr>
          <w:rFonts w:hint="eastAsia" w:ascii="Times New Roman" w:eastAsia="仿宋_GB2312"/>
          <w:b w:val="0"/>
          <w:sz w:val="32"/>
          <w:szCs w:val="32"/>
          <w:lang w:eastAsia="zh-CN"/>
        </w:rPr>
        <w:t>单位</w:t>
      </w:r>
      <w:r>
        <w:rPr>
          <w:rFonts w:ascii="Times New Roman" w:eastAsia="仿宋_GB2312"/>
          <w:b w:val="0"/>
          <w:sz w:val="32"/>
          <w:szCs w:val="32"/>
        </w:rPr>
        <w:t>重点评价，涉及一般公共预算支出5万元，政府性基金预算支出0万元，国有资本经营预算支出0万元，从评价情况来看，0。</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w:t>
      </w:r>
      <w:r>
        <w:rPr>
          <w:rFonts w:hint="eastAsia" w:ascii="Times New Roman" w:eastAsia="仿宋_GB2312"/>
          <w:b/>
          <w:sz w:val="32"/>
          <w:szCs w:val="32"/>
          <w:lang w:eastAsia="zh-CN"/>
        </w:rPr>
        <w:t>单位</w:t>
      </w:r>
      <w:r>
        <w:rPr>
          <w:rFonts w:ascii="Times New Roman" w:eastAsia="仿宋_GB2312"/>
          <w:b/>
          <w:sz w:val="32"/>
          <w:szCs w:val="32"/>
        </w:rPr>
        <w:t>决算中项目绩效自评结果</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本单位在今年</w:t>
      </w:r>
      <w:r>
        <w:rPr>
          <w:rFonts w:hint="eastAsia" w:ascii="Times New Roman" w:eastAsia="仿宋_GB2312"/>
          <w:b w:val="0"/>
          <w:sz w:val="32"/>
          <w:szCs w:val="32"/>
          <w:lang w:eastAsia="zh-CN"/>
        </w:rPr>
        <w:t>单位</w:t>
      </w:r>
      <w:r>
        <w:rPr>
          <w:rFonts w:ascii="Times New Roman" w:eastAsia="仿宋_GB2312"/>
          <w:b w:val="0"/>
          <w:sz w:val="32"/>
          <w:szCs w:val="32"/>
        </w:rPr>
        <w:t>决算公开中反映乡镇经费等1个项目绩效自评结果。</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乡镇经费项目绩效自评情况：根据年初设定的绩效目标，乡镇经费项目绩效自评得分为100分（绩效自评表附后）。全年预算数为36.032871万元，执行数为36.032871万元，完成预算的100%。项目绩效目标完成情况：一是保障镇政府正常运转；二是按时完成县领导交办的各项工 作。发现的主要问题及原因是：一是无；二是无。下一步改进措施：一是无；二是无。</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w:t>
      </w:r>
      <w:r>
        <w:rPr>
          <w:rFonts w:hint="eastAsia" w:ascii="Times New Roman" w:eastAsia="仿宋_GB2312"/>
          <w:b/>
          <w:sz w:val="32"/>
          <w:szCs w:val="32"/>
          <w:lang w:eastAsia="zh-CN"/>
        </w:rPr>
        <w:t>单位</w:t>
      </w:r>
      <w:r>
        <w:rPr>
          <w:rFonts w:ascii="Times New Roman" w:eastAsia="仿宋_GB2312"/>
          <w:b/>
          <w:sz w:val="32"/>
          <w:szCs w:val="32"/>
        </w:rPr>
        <w:t>评价项目绩效评价结果（如有）</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我</w:t>
      </w:r>
      <w:r>
        <w:rPr>
          <w:rFonts w:hint="eastAsia" w:ascii="Times New Roman" w:eastAsia="仿宋_GB2312"/>
          <w:b w:val="0"/>
          <w:sz w:val="32"/>
          <w:szCs w:val="32"/>
          <w:lang w:eastAsia="zh-CN"/>
        </w:rPr>
        <w:t>单位</w:t>
      </w:r>
      <w:r>
        <w:rPr>
          <w:rFonts w:ascii="Times New Roman" w:eastAsia="仿宋_GB2312"/>
          <w:b w:val="0"/>
          <w:sz w:val="32"/>
          <w:szCs w:val="32"/>
        </w:rPr>
        <w:t>无财政评价项目绩效评价情况</w:t>
      </w:r>
    </w:p>
    <w:p>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单位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w:t>
      </w:r>
      <w:r>
        <w:rPr>
          <w:rFonts w:hint="eastAsia" w:ascii="Times New Roman" w:eastAsia="仿宋_GB2312"/>
          <w:b w:val="0"/>
          <w:sz w:val="32"/>
          <w:szCs w:val="32"/>
          <w:lang w:eastAsia="zh-CN"/>
        </w:rPr>
        <w:t>单位</w:t>
      </w:r>
      <w:r>
        <w:rPr>
          <w:rFonts w:ascii="Times New Roman" w:eastAsia="仿宋_GB2312"/>
          <w:b w:val="0"/>
          <w:sz w:val="32"/>
          <w:szCs w:val="32"/>
        </w:rPr>
        <w:t>取得的财政预算资金。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w:t>
      </w:r>
      <w:r>
        <w:rPr>
          <w:rFonts w:hint="eastAsia" w:ascii="Times New Roman" w:eastAsia="仿宋_GB2312"/>
          <w:b w:val="0"/>
          <w:sz w:val="32"/>
          <w:szCs w:val="32"/>
          <w:lang w:eastAsia="zh-CN"/>
        </w:rPr>
        <w:t>单位</w:t>
      </w:r>
      <w:r>
        <w:rPr>
          <w:rFonts w:ascii="Times New Roman" w:eastAsia="仿宋_GB2312"/>
          <w:b w:val="0"/>
          <w:sz w:val="32"/>
          <w:szCs w:val="32"/>
        </w:rPr>
        <w:t>集中安排的用于购置固定资产、战略性和应急性储备、土地和无形资产，以及购建基础设施、大型修缮所发生的一般公共预算财政拨款支出，不包括政府性基金、财政专户管理资金以及各类拼盘自筹资金等。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w:t>
      </w:r>
      <w:r>
        <w:rPr>
          <w:rFonts w:hint="eastAsia" w:ascii="Times New Roman" w:eastAsia="仿宋_GB2312"/>
          <w:b w:val="0"/>
          <w:sz w:val="32"/>
          <w:szCs w:val="32"/>
          <w:lang w:eastAsia="zh-CN"/>
        </w:rPr>
        <w:t>单位</w:t>
      </w:r>
      <w:r>
        <w:rPr>
          <w:rFonts w:ascii="Times New Roman" w:eastAsia="仿宋_GB2312"/>
          <w:b w:val="0"/>
          <w:sz w:val="32"/>
          <w:szCs w:val="32"/>
        </w:rPr>
        <w:t>集中安排的用于购置固定资产、战备性和应急性储备、土地和无形资产，以及购建基础设施、大型修缮和财政支持企业更新改造所发生的支出。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w:t>
      </w:r>
      <w:r>
        <w:rPr>
          <w:rFonts w:hint="eastAsia" w:ascii="Times New Roman" w:eastAsia="仿宋_GB2312"/>
          <w:b w:val="0"/>
          <w:sz w:val="32"/>
          <w:szCs w:val="32"/>
          <w:lang w:eastAsia="zh-CN"/>
        </w:rPr>
        <w:t>单位</w:t>
      </w:r>
      <w:r>
        <w:rPr>
          <w:rFonts w:ascii="Times New Roman" w:eastAsia="仿宋_GB2312"/>
          <w:b w:val="0"/>
          <w:sz w:val="32"/>
          <w:szCs w:val="32"/>
        </w:rPr>
        <w:t>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868ED1E9-D64F-49CD-A93B-61FF32BCBB94}"/>
  </w:font>
  <w:font w:name="黑体">
    <w:panose1 w:val="02010609060101010101"/>
    <w:charset w:val="86"/>
    <w:family w:val="auto"/>
    <w:pitch w:val="default"/>
    <w:sig w:usb0="800002BF" w:usb1="38CF7CFA" w:usb2="00000016" w:usb3="00000000" w:csb0="00040001" w:csb1="00000000"/>
    <w:embedRegular r:id="rId2" w:fontKey="{B96609EE-752D-4EE0-9099-377659D5130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9D706EEA-E970-4A69-8222-D96DF2891CC1}"/>
  </w:font>
  <w:font w:name="仿宋">
    <w:panose1 w:val="02010609060101010101"/>
    <w:charset w:val="86"/>
    <w:family w:val="modern"/>
    <w:pitch w:val="default"/>
    <w:sig w:usb0="800002BF" w:usb1="38CF7CFA" w:usb2="00000016" w:usb3="00000000" w:csb0="00040001" w:csb1="00000000"/>
    <w:embedRegular r:id="rId4" w:fontKey="{91FD057F-51C7-4A19-A7A0-B78EE53C5B24}"/>
  </w:font>
  <w:font w:name="Calibri Light">
    <w:panose1 w:val="020F0302020204030204"/>
    <w:charset w:val="00"/>
    <w:family w:val="auto"/>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方正仿宋_GB2312">
    <w:panose1 w:val="02000000000000000000"/>
    <w:charset w:val="86"/>
    <w:family w:val="auto"/>
    <w:pitch w:val="default"/>
    <w:sig w:usb0="00000000" w:usb1="00000000" w:usb2="00000000" w:usb3="00000000" w:csb0="00000000" w:csb1="00000000"/>
    <w:embedRegular r:id="rId5" w:fontKey="{7718EBFD-F54A-44D2-9963-85348D503A57}"/>
  </w:font>
  <w:font w:name="楷体_GB2312">
    <w:panose1 w:val="02010609030101010101"/>
    <w:charset w:val="86"/>
    <w:family w:val="auto"/>
    <w:pitch w:val="default"/>
    <w:sig w:usb0="00000000" w:usb1="00000000" w:usb2="00000000" w:usb3="00000000" w:csb0="00000000" w:csb1="00000000"/>
    <w:embedRegular r:id="rId6" w:fontKey="{121B0691-6C60-4A1E-AC57-CED2F0D33C07}"/>
  </w:font>
  <w:font w:name="微软雅黑">
    <w:panose1 w:val="020B0503020204020204"/>
    <w:charset w:val="86"/>
    <w:family w:val="auto"/>
    <w:pitch w:val="default"/>
    <w:sig w:usb0="80000287" w:usb1="2ACF3C50" w:usb2="00000016" w:usb3="00000000" w:csb0="0004001F" w:csb1="00000000"/>
    <w:embedRegular r:id="rId7" w:fontKey="{7FCB90EB-DDDE-40A0-A56E-B7577AD447C4}"/>
  </w:font>
  <w:font w:name="方正小标宋_GBK">
    <w:panose1 w:val="02000000000000000000"/>
    <w:charset w:val="86"/>
    <w:family w:val="script"/>
    <w:pitch w:val="default"/>
    <w:sig w:usb0="00000000" w:usb1="00000000" w:usb2="00000000" w:usb3="00000000" w:csb0="00000000" w:csb1="00000000"/>
    <w:embedRegular r:id="rId8" w:fontKey="{68EA7857-5432-443B-9F8B-DC41C6824295}"/>
  </w:font>
  <w:font w:name="仿宋_GB2312">
    <w:panose1 w:val="02010609030101010101"/>
    <w:charset w:val="86"/>
    <w:family w:val="auto"/>
    <w:pitch w:val="default"/>
    <w:sig w:usb0="00000000" w:usb1="00000000" w:usb2="00000000" w:usb3="00000000" w:csb0="00000000" w:csb1="00000000"/>
    <w:embedRegular r:id="rId9" w:fontKey="{F037EAD3-1622-49C6-AB48-9E64D59E8C0A}"/>
  </w:font>
  <w:font w:name="ArialUnicodeMS">
    <w:altName w:val="Malgun Gothic"/>
    <w:panose1 w:val="00000000000000000000"/>
    <w:charset w:val="81"/>
    <w:family w:val="auto"/>
    <w:pitch w:val="default"/>
    <w:sig w:usb0="00000000" w:usb1="00000000" w:usb2="00000010" w:usb3="00000000" w:csb0="00080001" w:csb1="00000000"/>
    <w:embedRegular r:id="rId10" w:fontKey="{3DF68C7C-F357-4D6C-A1E6-EC07E9C9CDF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p>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619DA"/>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Layout w:type="fixed"/>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2255.93</c:v>
                </c:pt>
                <c:pt idx="1">
                  <c:v>966.47</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0.00_);[Red]\(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22559268.03</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5911089.52</c:v>
                </c:pt>
                <c:pt idx="1">
                  <c:v>16648178.51</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966.47</c:v>
                </c:pt>
                <c:pt idx="1">
                  <c:v>966.47</c:v>
                </c:pt>
                <c:pt idx="2">
                  <c:v>935.15</c:v>
                </c:pt>
                <c:pt idx="3">
                  <c:v>935.15</c:v>
                </c:pt>
                <c:pt idx="4">
                  <c:v>31.32</c:v>
                </c:pt>
                <c:pt idx="5">
                  <c:v>31.32</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2255.93</c:v>
                </c:pt>
                <c:pt idx="1">
                  <c:v>2255.93</c:v>
                </c:pt>
                <c:pt idx="2">
                  <c:v>2098.41</c:v>
                </c:pt>
                <c:pt idx="3">
                  <c:v>2098.41</c:v>
                </c:pt>
                <c:pt idx="4">
                  <c:v>157.52</c:v>
                </c:pt>
                <c:pt idx="5">
                  <c:v>157.52</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1177.28</c:v>
                </c:pt>
                <c:pt idx="1">
                  <c:v>1177.28</c:v>
                </c:pt>
                <c:pt idx="2">
                  <c:v>930.28</c:v>
                </c:pt>
                <c:pt idx="3">
                  <c:v>930.28</c:v>
                </c:pt>
                <c:pt idx="4">
                  <c:v>247</c:v>
                </c:pt>
                <c:pt idx="5">
                  <c:v>247</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2255.93</c:v>
                </c:pt>
                <c:pt idx="1">
                  <c:v>2255.93</c:v>
                </c:pt>
                <c:pt idx="2">
                  <c:v>2098.41</c:v>
                </c:pt>
                <c:pt idx="3">
                  <c:v>2098.41</c:v>
                </c:pt>
                <c:pt idx="4">
                  <c:v>157.52</c:v>
                </c:pt>
                <c:pt idx="5">
                  <c:v>157.52</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29</Pages>
  <Words>1660</Words>
  <Characters>6225</Characters>
  <Lines>86</Lines>
  <Paragraphs>24</Paragraphs>
  <TotalTime>14</TotalTime>
  <ScaleCrop>false</ScaleCrop>
  <LinksUpToDate>false</LinksUpToDate>
  <CharactersWithSpaces>6550</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hp</cp:lastModifiedBy>
  <cp:lastPrinted>2023-08-04T01:00:00Z</cp:lastPrinted>
  <dcterms:modified xsi:type="dcterms:W3CDTF">2026-09-16T02:38:18Z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eyJoZGlkIjoiMGUwMDdiZjE4MTAzNDUzMDk3OTAyNWU5OGVmNGE2MmMiLCJ1c2VySWQiOiIxNTIwMzY1OTkzIn0=</vt:lpwstr>
  </property>
</Properties>
</file>