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元氏县人民政府办公室</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434</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0120FC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元氏县人民政府办公室</w:t>
      </w:r>
    </w:p>
    <w:p w14:paraId="00704AF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664FF71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元氏县人民政府办公室</w:t>
      </w:r>
    </w:p>
    <w:p w14:paraId="2F48FB30">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C25750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3300ED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5C38264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单位</w:t>
      </w:r>
      <w:r>
        <w:rPr>
          <w:rFonts w:ascii="Times New Roman" w:eastAsia="黑体"/>
          <w:b w:val="0"/>
          <w:sz w:val="32"/>
          <w:szCs w:val="32"/>
        </w:rPr>
        <w:t>概况</w:t>
      </w:r>
    </w:p>
    <w:p w14:paraId="184A4B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14:paraId="6BD1E7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D07C196">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5BCC34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25720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F2D2A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05BA1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7980CD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9B790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BB9F4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19B260E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70FA8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C0E0BE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129539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B172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60CE5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C0247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25479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565B4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F9789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13C65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EA545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789FB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B1741F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98F22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67F70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14:paraId="17EAFA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信息公开服务工 作；负责全县政务公开、政府信息公开 的监督检查和考 核评估工作。 （十）负责信息收集、整理、分析、反馈工作，负 责县政府网站的信息发布工作。 （十一）协同有关单位统筹协调县政府新闻宣传、 舆情回应等工 作。 （十二）负责全县外事工作的谋划、协调， 负责县委外事工作委员会各项决定和工作部署的督办落实；办理党政机关、企事业单位人员因公出国(境)审批和外事 接待等工作。 （十三）负责制定和实施人防工程建设规划，对人 民防空工程的建设、维护、管理进行监督检查；人防知 识的教育、宣传普及； 组织战时的人民群众进行疏散、 隐蔽，发放空袭警报和实施灯火管制等人民防空工作。 （十四）负责全县地方金融组织监督管理工作。承 担小额贷款公司、融资担保公司、典当行、融资租赁公 司、商业保理公司地方资产管理公司、地方金融控股集 团等地方金融组织的监督管理、规范发展和风险处置工 作；依照权限做好地方金融组织的设立、合并、分立以 及各类重大事项变更的初审和报备工作；组织协调防范 和处置化解地方金融风险工作，牵头做好全县金融风险 的监测预警、宣传教育、排查化解等工作； 负责全县金 融突发事件应急机制建设，协调配合有关单位依法做好 非法金融案件的调查处理、善后处置和金融稳定工 作； 负责做好地方金融消费者</w:t>
      </w:r>
      <w:r>
        <w:rPr>
          <w:rFonts w:hint="eastAsia" w:ascii="Times New Roman" w:eastAsia="仿宋_GB2312"/>
          <w:b w:val="0"/>
          <w:sz w:val="32"/>
          <w:szCs w:val="32"/>
          <w:lang w:eastAsia="zh-CN"/>
        </w:rPr>
        <w:t>权益</w:t>
      </w:r>
      <w:bookmarkStart w:id="0" w:name="_GoBack"/>
      <w:bookmarkEnd w:id="0"/>
      <w:r>
        <w:rPr>
          <w:rFonts w:ascii="Times New Roman" w:eastAsia="仿宋_GB2312"/>
          <w:b w:val="0"/>
          <w:sz w:val="32"/>
          <w:szCs w:val="32"/>
        </w:rPr>
        <w:t>保护工作。 （十五）负责县大气、水和土壤污染防治指挥部日 常工作。（十 六）完成县政府交办的其他任务。 政府办公室设下列内设机构：综合股、秘书股、信 息股（研究室）、行政股（外事办）、督查股（提案股）、 政务公开股、市政府公开电话股、金融股、气水办 10 个 股室。</w:t>
      </w:r>
    </w:p>
    <w:p w14:paraId="4AC0987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7BC71B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元氏县人民政府办公室</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86F11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单位（单位）：元氏县人民政府办公室</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795.18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49.59</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34.08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830.98</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46.21</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单位（单位）：元氏县人民政府办公室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1,756.05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1,756.05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D5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E0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AC9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A01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E75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0C8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145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405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907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1E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DC0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817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200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F48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847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AEC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345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280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2FD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016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A88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298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1F4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B6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793.16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883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793.16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1E3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9E2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224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1A5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9A7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3CC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6E7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893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788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D65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92F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B0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D6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4F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4B4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55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1B7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157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EC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E16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3B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92C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BF5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45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B10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03A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66F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913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739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1DB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2C7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42B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896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BC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559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37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C1D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460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0EE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FF7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E9A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FDB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B97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A45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545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DF3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189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C8B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57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726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3E1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5A0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6D5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DB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581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51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CAB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F42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7AD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B99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8DE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6E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379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FF1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E06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12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12A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1DE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127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501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2C2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F31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BC0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3D9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D06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462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34F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92F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16A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E2D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9A6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477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37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FE2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1D6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17E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1F6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592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394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EA0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B28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BC1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8EA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DAA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2BD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A8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978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CA3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697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8A4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A9A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CE0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7B3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684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EC6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05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13F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773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360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76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3CF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BC6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12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8D5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B47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2AF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11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24D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DE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AC8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794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C81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AC3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0B7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642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72C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A5E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AD7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FEF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14D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FC2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DA8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C4D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E5E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0EA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77F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6D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F3E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71A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AB1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AE4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764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7F5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57F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2BE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AC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92B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B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610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F22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5F7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9DB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3E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190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980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单位（单位）：元氏县人民政府办公室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1,090.72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4696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82F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977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062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37E7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45F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7B0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D9A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FB8FB">
            <w:pPr>
              <w:jc w:val="right"/>
              <w:rPr>
                <w:rFonts w:hint="default" w:ascii="Times New Roman" w:hAnsi="Times New Roman" w:eastAsia="宋体" w:cs="Times New Roman"/>
                <w:i w:val="0"/>
                <w:iCs w:val="0"/>
                <w:color w:val="000000"/>
                <w:sz w:val="20"/>
                <w:szCs w:val="20"/>
                <w:highlight w:val="none"/>
                <w:u w:val="none"/>
              </w:rPr>
            </w:pPr>
          </w:p>
        </w:tc>
      </w:tr>
      <w:tr w14:paraId="26FA8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AA6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259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830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881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15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EF7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C37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EBBE8">
            <w:pPr>
              <w:jc w:val="right"/>
              <w:rPr>
                <w:rFonts w:hint="default" w:ascii="Times New Roman" w:hAnsi="Times New Roman" w:eastAsia="宋体" w:cs="Times New Roman"/>
                <w:i w:val="0"/>
                <w:iCs w:val="0"/>
                <w:color w:val="000000"/>
                <w:sz w:val="20"/>
                <w:szCs w:val="20"/>
                <w:highlight w:val="none"/>
                <w:u w:val="none"/>
              </w:rPr>
            </w:pPr>
          </w:p>
        </w:tc>
      </w:tr>
      <w:tr w14:paraId="61735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0A4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DB6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BD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5DE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5C3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EFB2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8E2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2BDF4">
            <w:pPr>
              <w:jc w:val="right"/>
              <w:rPr>
                <w:rFonts w:hint="default" w:ascii="Times New Roman" w:hAnsi="Times New Roman" w:eastAsia="宋体" w:cs="Times New Roman"/>
                <w:i w:val="0"/>
                <w:iCs w:val="0"/>
                <w:color w:val="000000"/>
                <w:sz w:val="20"/>
                <w:szCs w:val="20"/>
                <w:highlight w:val="none"/>
                <w:u w:val="none"/>
              </w:rPr>
            </w:pPr>
          </w:p>
        </w:tc>
      </w:tr>
      <w:tr w14:paraId="6E16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E3E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868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984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AA2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83CC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E51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4837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1EA07">
            <w:pPr>
              <w:jc w:val="right"/>
              <w:rPr>
                <w:rFonts w:hint="default" w:ascii="Times New Roman" w:hAnsi="Times New Roman" w:eastAsia="宋体" w:cs="Times New Roman"/>
                <w:i w:val="0"/>
                <w:iCs w:val="0"/>
                <w:color w:val="000000"/>
                <w:sz w:val="20"/>
                <w:szCs w:val="20"/>
                <w:highlight w:val="none"/>
                <w:u w:val="none"/>
              </w:rPr>
            </w:pPr>
          </w:p>
        </w:tc>
      </w:tr>
      <w:tr w14:paraId="4676C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927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B1C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927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CEF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388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229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BA0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9DDF6">
            <w:pPr>
              <w:jc w:val="right"/>
              <w:rPr>
                <w:rFonts w:hint="default" w:ascii="Times New Roman" w:hAnsi="Times New Roman" w:eastAsia="宋体" w:cs="Times New Roman"/>
                <w:i w:val="0"/>
                <w:iCs w:val="0"/>
                <w:color w:val="000000"/>
                <w:sz w:val="20"/>
                <w:szCs w:val="20"/>
                <w:highlight w:val="none"/>
                <w:u w:val="none"/>
              </w:rPr>
            </w:pPr>
          </w:p>
        </w:tc>
      </w:tr>
      <w:tr w14:paraId="692C0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ED8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F2B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446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24E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8F93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AE4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F973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2526">
            <w:pPr>
              <w:jc w:val="right"/>
              <w:rPr>
                <w:rFonts w:hint="default" w:ascii="Times New Roman" w:hAnsi="Times New Roman" w:eastAsia="宋体" w:cs="Times New Roman"/>
                <w:i w:val="0"/>
                <w:iCs w:val="0"/>
                <w:color w:val="000000"/>
                <w:sz w:val="20"/>
                <w:szCs w:val="20"/>
                <w:highlight w:val="none"/>
                <w:u w:val="none"/>
              </w:rPr>
            </w:pPr>
          </w:p>
        </w:tc>
      </w:tr>
      <w:tr w14:paraId="41B16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E90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205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4AD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AB5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FE03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9E0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867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0C974">
            <w:pPr>
              <w:jc w:val="right"/>
              <w:rPr>
                <w:rFonts w:hint="default" w:ascii="Times New Roman" w:hAnsi="Times New Roman" w:eastAsia="宋体" w:cs="Times New Roman"/>
                <w:i w:val="0"/>
                <w:iCs w:val="0"/>
                <w:color w:val="000000"/>
                <w:sz w:val="20"/>
                <w:szCs w:val="20"/>
                <w:highlight w:val="none"/>
                <w:u w:val="none"/>
              </w:rPr>
            </w:pPr>
          </w:p>
        </w:tc>
      </w:tr>
      <w:tr w14:paraId="087FF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68B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F93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2C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34A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CD85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DEC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52C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E5D45">
            <w:pPr>
              <w:jc w:val="right"/>
              <w:rPr>
                <w:rFonts w:hint="default" w:ascii="Times New Roman" w:hAnsi="Times New Roman" w:eastAsia="宋体" w:cs="Times New Roman"/>
                <w:i w:val="0"/>
                <w:iCs w:val="0"/>
                <w:color w:val="000000"/>
                <w:sz w:val="20"/>
                <w:szCs w:val="20"/>
                <w:highlight w:val="none"/>
                <w:u w:val="none"/>
              </w:rPr>
            </w:pPr>
          </w:p>
        </w:tc>
      </w:tr>
      <w:tr w14:paraId="3F7B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573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108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F2C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FDF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654A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D787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688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6EA6A">
            <w:pPr>
              <w:jc w:val="right"/>
              <w:rPr>
                <w:rFonts w:hint="default" w:ascii="Times New Roman" w:hAnsi="Times New Roman" w:eastAsia="宋体" w:cs="Times New Roman"/>
                <w:i w:val="0"/>
                <w:iCs w:val="0"/>
                <w:color w:val="000000"/>
                <w:sz w:val="20"/>
                <w:szCs w:val="20"/>
                <w:highlight w:val="none"/>
                <w:u w:val="none"/>
              </w:rPr>
            </w:pPr>
          </w:p>
        </w:tc>
      </w:tr>
      <w:tr w14:paraId="12FD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575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018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29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FF2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29B2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F8D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2B7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79FC1">
            <w:pPr>
              <w:jc w:val="right"/>
              <w:rPr>
                <w:rFonts w:hint="default" w:ascii="Times New Roman" w:hAnsi="Times New Roman" w:eastAsia="宋体" w:cs="Times New Roman"/>
                <w:i w:val="0"/>
                <w:iCs w:val="0"/>
                <w:color w:val="000000"/>
                <w:sz w:val="20"/>
                <w:szCs w:val="20"/>
                <w:highlight w:val="none"/>
                <w:u w:val="none"/>
              </w:rPr>
            </w:pPr>
          </w:p>
        </w:tc>
      </w:tr>
      <w:tr w14:paraId="7F47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EB2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32C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34D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9E0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86EF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D60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65B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AEF2A">
            <w:pPr>
              <w:jc w:val="right"/>
              <w:rPr>
                <w:rFonts w:hint="default" w:ascii="Times New Roman" w:hAnsi="Times New Roman" w:eastAsia="宋体" w:cs="Times New Roman"/>
                <w:i w:val="0"/>
                <w:iCs w:val="0"/>
                <w:color w:val="000000"/>
                <w:sz w:val="20"/>
                <w:szCs w:val="20"/>
                <w:highlight w:val="none"/>
                <w:u w:val="none"/>
              </w:rPr>
            </w:pPr>
          </w:p>
        </w:tc>
      </w:tr>
      <w:tr w14:paraId="1016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07C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EE8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7D9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FC4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EC1A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DE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237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3FFE3">
            <w:pPr>
              <w:jc w:val="right"/>
              <w:rPr>
                <w:rFonts w:hint="default" w:ascii="Times New Roman" w:hAnsi="Times New Roman" w:eastAsia="宋体" w:cs="Times New Roman"/>
                <w:i w:val="0"/>
                <w:iCs w:val="0"/>
                <w:color w:val="000000"/>
                <w:sz w:val="20"/>
                <w:szCs w:val="20"/>
                <w:highlight w:val="none"/>
                <w:u w:val="none"/>
              </w:rPr>
            </w:pPr>
          </w:p>
        </w:tc>
      </w:tr>
      <w:tr w14:paraId="3471E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60C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782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73B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389C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F30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1FD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56B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489AB">
            <w:pPr>
              <w:jc w:val="right"/>
              <w:rPr>
                <w:rFonts w:hint="default" w:ascii="Times New Roman" w:hAnsi="Times New Roman" w:eastAsia="宋体" w:cs="Times New Roman"/>
                <w:i w:val="0"/>
                <w:iCs w:val="0"/>
                <w:color w:val="000000"/>
                <w:sz w:val="20"/>
                <w:szCs w:val="20"/>
                <w:highlight w:val="none"/>
                <w:u w:val="none"/>
              </w:rPr>
            </w:pPr>
          </w:p>
        </w:tc>
      </w:tr>
      <w:tr w14:paraId="3DB5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B8C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684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1CD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CF8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60B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141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147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58DD9">
            <w:pPr>
              <w:jc w:val="right"/>
              <w:rPr>
                <w:rFonts w:hint="default" w:ascii="Times New Roman" w:hAnsi="Times New Roman" w:eastAsia="宋体" w:cs="Times New Roman"/>
                <w:i w:val="0"/>
                <w:iCs w:val="0"/>
                <w:color w:val="000000"/>
                <w:sz w:val="20"/>
                <w:szCs w:val="20"/>
                <w:highlight w:val="none"/>
                <w:u w:val="none"/>
              </w:rPr>
            </w:pPr>
          </w:p>
        </w:tc>
      </w:tr>
      <w:tr w14:paraId="1BBD7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200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FB7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FE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0BB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71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6B3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C22C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FE79A">
            <w:pPr>
              <w:jc w:val="right"/>
              <w:rPr>
                <w:rFonts w:hint="default" w:ascii="Times New Roman" w:hAnsi="Times New Roman" w:eastAsia="宋体" w:cs="Times New Roman"/>
                <w:i w:val="0"/>
                <w:iCs w:val="0"/>
                <w:color w:val="000000"/>
                <w:sz w:val="20"/>
                <w:szCs w:val="20"/>
                <w:highlight w:val="none"/>
                <w:u w:val="none"/>
              </w:rPr>
            </w:pPr>
          </w:p>
        </w:tc>
      </w:tr>
      <w:tr w14:paraId="32266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05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958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A87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199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DA1A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05F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2D2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5F50F">
            <w:pPr>
              <w:jc w:val="right"/>
              <w:rPr>
                <w:rFonts w:hint="default" w:ascii="Times New Roman" w:hAnsi="Times New Roman" w:eastAsia="宋体" w:cs="Times New Roman"/>
                <w:i w:val="0"/>
                <w:iCs w:val="0"/>
                <w:color w:val="000000"/>
                <w:sz w:val="20"/>
                <w:szCs w:val="20"/>
                <w:highlight w:val="none"/>
                <w:u w:val="none"/>
              </w:rPr>
            </w:pPr>
          </w:p>
        </w:tc>
      </w:tr>
      <w:tr w14:paraId="4AC0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E45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259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A2C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E20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056B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1AE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9D6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07063">
            <w:pPr>
              <w:jc w:val="right"/>
              <w:rPr>
                <w:rFonts w:hint="default" w:ascii="Times New Roman" w:hAnsi="Times New Roman" w:eastAsia="宋体" w:cs="Times New Roman"/>
                <w:i w:val="0"/>
                <w:iCs w:val="0"/>
                <w:color w:val="000000"/>
                <w:sz w:val="20"/>
                <w:szCs w:val="20"/>
                <w:highlight w:val="none"/>
                <w:u w:val="none"/>
              </w:rPr>
            </w:pPr>
          </w:p>
        </w:tc>
      </w:tr>
      <w:tr w14:paraId="47328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F2E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7A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032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A1E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B22F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428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50CA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2B679">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单位（单位）：元氏县人民政府办公室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830.98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830.98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1,756.05</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单位（单位）：元氏县人民政府办公室</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1,090.72</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259.73</w:t>
            </w:r>
          </w:p>
        </w:tc>
      </w:tr>
      <w:tr w14:paraId="3416F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D85D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50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158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8F98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49A2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r>
      <w:tr w14:paraId="70FE4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2AF6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34C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762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DD7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A25E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r>
      <w:tr w14:paraId="79B24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4AB4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A10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039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A52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2E0B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r>
      <w:tr w14:paraId="5C9A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0DBE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DBE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E91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CB8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286114">
            <w:pPr>
              <w:jc w:val="right"/>
              <w:rPr>
                <w:rFonts w:hint="default" w:ascii="Times New Roman" w:hAnsi="Times New Roman" w:eastAsia="宋体" w:cs="Times New Roman"/>
                <w:i w:val="0"/>
                <w:iCs w:val="0"/>
                <w:color w:val="000000"/>
                <w:sz w:val="20"/>
                <w:szCs w:val="20"/>
                <w:highlight w:val="none"/>
                <w:u w:val="none"/>
              </w:rPr>
            </w:pPr>
          </w:p>
        </w:tc>
      </w:tr>
      <w:tr w14:paraId="1D9D6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4959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4B1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A28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4347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67BE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r>
      <w:tr w14:paraId="35DA0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FD92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E7A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A0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5CF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C453D5">
            <w:pPr>
              <w:jc w:val="right"/>
              <w:rPr>
                <w:rFonts w:hint="default" w:ascii="Times New Roman" w:hAnsi="Times New Roman" w:eastAsia="宋体" w:cs="Times New Roman"/>
                <w:i w:val="0"/>
                <w:iCs w:val="0"/>
                <w:color w:val="000000"/>
                <w:sz w:val="20"/>
                <w:szCs w:val="20"/>
                <w:highlight w:val="none"/>
                <w:u w:val="none"/>
              </w:rPr>
            </w:pPr>
          </w:p>
        </w:tc>
      </w:tr>
      <w:tr w14:paraId="1D9C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3CE5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56C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366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06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E4FE9D">
            <w:pPr>
              <w:jc w:val="right"/>
              <w:rPr>
                <w:rFonts w:hint="default" w:ascii="Times New Roman" w:hAnsi="Times New Roman" w:eastAsia="宋体" w:cs="Times New Roman"/>
                <w:i w:val="0"/>
                <w:iCs w:val="0"/>
                <w:color w:val="000000"/>
                <w:sz w:val="20"/>
                <w:szCs w:val="20"/>
                <w:highlight w:val="none"/>
                <w:u w:val="none"/>
              </w:rPr>
            </w:pPr>
          </w:p>
        </w:tc>
      </w:tr>
      <w:tr w14:paraId="0557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66B4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3C7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AB9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518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C1244E">
            <w:pPr>
              <w:jc w:val="right"/>
              <w:rPr>
                <w:rFonts w:hint="default" w:ascii="Times New Roman" w:hAnsi="Times New Roman" w:eastAsia="宋体" w:cs="Times New Roman"/>
                <w:i w:val="0"/>
                <w:iCs w:val="0"/>
                <w:color w:val="000000"/>
                <w:sz w:val="20"/>
                <w:szCs w:val="20"/>
                <w:highlight w:val="none"/>
                <w:u w:val="none"/>
              </w:rPr>
            </w:pPr>
          </w:p>
        </w:tc>
      </w:tr>
      <w:tr w14:paraId="38CD5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1E57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AC0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B4D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511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D1FCF6">
            <w:pPr>
              <w:jc w:val="right"/>
              <w:rPr>
                <w:rFonts w:hint="default" w:ascii="Times New Roman" w:hAnsi="Times New Roman" w:eastAsia="宋体" w:cs="Times New Roman"/>
                <w:i w:val="0"/>
                <w:iCs w:val="0"/>
                <w:color w:val="000000"/>
                <w:sz w:val="20"/>
                <w:szCs w:val="20"/>
                <w:highlight w:val="none"/>
                <w:u w:val="none"/>
              </w:rPr>
            </w:pPr>
          </w:p>
        </w:tc>
      </w:tr>
      <w:tr w14:paraId="7E69A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0C93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4F3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AF7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08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A129E8">
            <w:pPr>
              <w:jc w:val="right"/>
              <w:rPr>
                <w:rFonts w:hint="default" w:ascii="Times New Roman" w:hAnsi="Times New Roman" w:eastAsia="宋体" w:cs="Times New Roman"/>
                <w:i w:val="0"/>
                <w:iCs w:val="0"/>
                <w:color w:val="000000"/>
                <w:sz w:val="20"/>
                <w:szCs w:val="20"/>
                <w:highlight w:val="none"/>
                <w:u w:val="none"/>
              </w:rPr>
            </w:pPr>
          </w:p>
        </w:tc>
      </w:tr>
      <w:tr w14:paraId="03C59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00DE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B1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969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9C5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B5DBBE">
            <w:pPr>
              <w:jc w:val="right"/>
              <w:rPr>
                <w:rFonts w:hint="default" w:ascii="Times New Roman" w:hAnsi="Times New Roman" w:eastAsia="宋体" w:cs="Times New Roman"/>
                <w:i w:val="0"/>
                <w:iCs w:val="0"/>
                <w:color w:val="000000"/>
                <w:sz w:val="20"/>
                <w:szCs w:val="20"/>
                <w:highlight w:val="none"/>
                <w:u w:val="none"/>
              </w:rPr>
            </w:pPr>
          </w:p>
        </w:tc>
      </w:tr>
      <w:tr w14:paraId="4767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5EC2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C89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430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0FD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C84DC8">
            <w:pPr>
              <w:jc w:val="right"/>
              <w:rPr>
                <w:rFonts w:hint="default" w:ascii="Times New Roman" w:hAnsi="Times New Roman" w:eastAsia="宋体" w:cs="Times New Roman"/>
                <w:i w:val="0"/>
                <w:iCs w:val="0"/>
                <w:color w:val="000000"/>
                <w:sz w:val="20"/>
                <w:szCs w:val="20"/>
                <w:highlight w:val="none"/>
                <w:u w:val="none"/>
              </w:rPr>
            </w:pPr>
          </w:p>
        </w:tc>
      </w:tr>
      <w:tr w14:paraId="2C1CC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7998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C27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84B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C330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EDB0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r>
      <w:tr w14:paraId="04FD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F98D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FDD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020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B7DB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6281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r>
      <w:tr w14:paraId="6405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7D9B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257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4B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6FDE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CEC2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r>
      <w:tr w14:paraId="6BDB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E967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8FC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407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302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206AFE">
            <w:pPr>
              <w:jc w:val="right"/>
              <w:rPr>
                <w:rFonts w:hint="default" w:ascii="Times New Roman" w:hAnsi="Times New Roman" w:eastAsia="宋体" w:cs="Times New Roman"/>
                <w:i w:val="0"/>
                <w:iCs w:val="0"/>
                <w:color w:val="000000"/>
                <w:sz w:val="20"/>
                <w:szCs w:val="20"/>
                <w:highlight w:val="none"/>
                <w:u w:val="none"/>
              </w:rPr>
            </w:pPr>
          </w:p>
        </w:tc>
      </w:tr>
      <w:tr w14:paraId="78FBB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44A0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1CB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392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AAD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237E8D">
            <w:pPr>
              <w:jc w:val="right"/>
              <w:rPr>
                <w:rFonts w:hint="default" w:ascii="Times New Roman" w:hAnsi="Times New Roman" w:eastAsia="宋体" w:cs="Times New Roman"/>
                <w:i w:val="0"/>
                <w:iCs w:val="0"/>
                <w:color w:val="000000"/>
                <w:sz w:val="20"/>
                <w:szCs w:val="20"/>
                <w:highlight w:val="none"/>
                <w:u w:val="none"/>
              </w:rPr>
            </w:pPr>
          </w:p>
        </w:tc>
      </w:tr>
      <w:tr w14:paraId="16109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4E42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3AD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C73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AF7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BD3CD8">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单位（单位）：元氏县人民政府办公室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522.62</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117.98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184.72</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74.99</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78.00</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52.88</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49.59</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15.09</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22.59</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11.49</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46.21</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18.72</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4.48</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5.24</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23.23</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547.35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117.98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单位（单位）：元氏县人民政府办公室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单位（单位）：元氏县人民政府办公室</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单位（单位）：元氏县人民政府办公室</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BC36E6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0A3778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BEDD6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2025年度收、支总计（含结转和结余）均为1,756.05万元。与2024年度决算相比，收支各增加62.93万元，增长3.7%，主要原因是用于增加了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55D67B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37F86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收入合计1,756.05万元，其中：财政拨款收入1,756.05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6B5AE0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1DEB5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2025年度本年支出合计1,756.05万元，其中：基本支出665.33万元，占37.9%；项目支出1,090.72万元，占62.1%；经营支出0.00万元，占0.0%；上缴上级支出0.00万元，占0.0%；对附属单位补助支出0.00万元，占0.0%。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FE8EB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5A1290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C48AA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2025年度财政拨款收、支总计（含结转和结余）均为1,756.05万元。与2024年度相比，财政拨款收支各增加62.93万元，增长3.7%，主要原因是用于增加了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w:t>
      </w:r>
    </w:p>
    <w:p w14:paraId="4BE3A1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2025年度财政拨款本年收入1,756.05万元,比上年增加62.93万元，增长3.7%，主要原因是用于增加了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律顾问咨询费等支出；本年支出1,756.05万元，比上年增加62.93万元，增长3.7%，主要原因是用于增加了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律顾问咨询费等支出。具体情况如下：</w:t>
      </w:r>
    </w:p>
    <w:p w14:paraId="08EB6F3A">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一般公共预算财政拨款本年收入1,756.05万元,比上年增加62.93万元，增长3.7%，主要原因是用于增加了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律顾问咨询费等支出；本年支出1,756.05万元，比上年增加62.93万元，增长3.7%，主要原因是用于增加了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w:t>
      </w:r>
    </w:p>
    <w:p w14:paraId="715F75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14:paraId="63BAFB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99124B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0C2BA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2025年度财政拨款本年收入1,756.05万元，完成年初预算的205.4%，比年初预算增加901.00万元，决算数大于预算数主要原因是用于增加了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律顾问咨询费等支出；本年支出1,756.05万元，完成年初预算的205.4%，比年初预算增加901.00万元，决算数大于预算数主要原因是用于增加了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律顾问咨询费等支出。具体情况如下：</w:t>
      </w:r>
    </w:p>
    <w:p w14:paraId="256A86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一般公共预算财政拨款本年收入完成年初预算的205.4%，比年初预算增加901.00万元，主要原因是；支出完成年初预算的205.4%，比年初预算增加901.00万元，主要原因是用于增加了 县政府视频网络信息化平台建设项目、电子政务外网机房及设备运维费项目、云视频会议系统设备服务费项目、机关文 件印刷费项目、机关办公设备购置及维护费项目以及政府法 律顾问咨询费等支出。</w:t>
      </w:r>
    </w:p>
    <w:p w14:paraId="60D374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p>
    <w:p w14:paraId="79EF01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BD30D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7E257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2025年度财政拨款支出1,756.05万元，主要用于以下方面：</w:t>
      </w:r>
    </w:p>
    <w:p w14:paraId="237AEBF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58B9D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795.18万元，占45.3%，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49.59万元，占2.8%，主要用于等支出；卫生健康（类）支出34.08万元，占1.9%，主要用于等支出；节能环保（类）支出830.98万元，占47.3%，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46.21万元，占2.6%，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E0DA4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1A5A7F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4F938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45B0B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67F35C5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78618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2025年度财政拨款基本支出665.33万元，其中：</w:t>
      </w:r>
    </w:p>
    <w:p w14:paraId="20BB02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人员经费547.35万元，主要包括基本工资、津贴补贴、奖金、伙食补助费、绩效工资、机关事业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05825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117.98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2C38DE4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F12E45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11B36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2025年度“三公”经费财政拨款支出预算为1.60万元，支出决算为0.00万元，完成预算的0.0%，较预算减少1.60万元，降低100.0%，主要原因是；较2024年度决算增加0.00万元，增长0.00%，主要原因是。</w:t>
      </w:r>
    </w:p>
    <w:p w14:paraId="12913DB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8B2C3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7A33037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2025年度公务用车购置及运行维护费预算为0.00万元，支出决算0.00万元，完成预算的0.0%,较预算增加0.00万元，增长0.0%,主要原因是；较上年增加0.00万元，增长0.00%,主要原因是。其中：</w:t>
      </w:r>
    </w:p>
    <w:p w14:paraId="287301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2025年度公务用车购置量0辆，发生“公务用车购置”经费支出0.00万元。公务用车购置费支出较预算增加0.00万元，增长0.0%,主要原因是；较上年增加0.00万元，增长0.00%,主要原因是。</w:t>
      </w:r>
    </w:p>
    <w:p w14:paraId="484AF9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2025年度单位公务用车保有量0辆，发生运行维护费支出0.00万元。公车运行维护费支出较预算增加0.00万元，增长0.0%,主要原因是；较上年增加0.00万元，增长0.00%，主要原因是。</w:t>
      </w:r>
    </w:p>
    <w:p w14:paraId="222735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接待费支出预算为1.60万元，支出决算0.00万元，完成预算的0.0%。公务接待费支出较预算减少1.60万元，降低100.0%,主要原因是；较上年度增加0.00万元，增长0.00%,主要原因是。本年度共发生公务接待0批次、0人次。</w:t>
      </w:r>
    </w:p>
    <w:p w14:paraId="0C2FD75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79B96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2025年度机关运行经费支出117.98万元，较2024年度增加4.29万元，增长3.8%。主要原因是正常 人员调动，工作人员、工作量增加以及办公用品、印刷费、 耗材等物价略微上涨等正常因素。</w:t>
      </w:r>
    </w:p>
    <w:p w14:paraId="19F748F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7BC94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2D5824E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E7178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10辆，比上年增加0辆，主要是没有变动。其中，副部（省）级及以上领导用车0辆，主要负责人用车0辆，机要通信用车0辆，应急保障用车5辆，执法执勤用车0辆，特种专业技术用车5辆，离退休干部用车0辆，其他用车0辆，其他用车主要是大气办雾炮车。单位价值100万元（含）以上设备（不含车辆）0台（套）。</w:t>
      </w:r>
    </w:p>
    <w:p w14:paraId="25B997E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616A82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D6069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ascii="Times New Roman" w:eastAsia="仿宋_GB2312"/>
          <w:b w:val="0"/>
          <w:sz w:val="32"/>
          <w:szCs w:val="32"/>
        </w:rPr>
        <w:t>组织对2025年度本级预算项目支出全面开展绩效自评，共涉及资金1,090.72万元（决算金额）。其中，一般公共预算项目22个，涉及资金1,090.72万元，占一般公共预算项目支出总额的64.8%；政府性基金预算项目0个，涉及资金0万元，占政府性基金预算项目支出总额的0%；国有资本经营预算项目0个，涉及资金0万元，占国有资本经营预算项目支出总额的0%。</w:t>
      </w:r>
    </w:p>
    <w:p w14:paraId="56A63A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组织对0等0个项目开展了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重点评价，涉及一般公共预算支出0万元，政府性基金预算支出0万元，国有资本经营预算支出0万元，从评价情况来看，0。</w:t>
      </w:r>
    </w:p>
    <w:p w14:paraId="2B4108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5C6B34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决算公开中反映等个项目绩效自评结果。</w:t>
      </w:r>
    </w:p>
    <w:p w14:paraId="6E7FF1D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7DBB14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46111A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 2025 年度无财政评价项目绩效情况</w:t>
      </w:r>
    </w:p>
    <w:p w14:paraId="658AC935">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07C88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71E895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8F034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45F4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1CF442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1D3366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855F1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0FE93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659F6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D36F5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1CEB0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D7DA9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501753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1E357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EF9564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41FF9E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55C1A4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2D4E1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AD2D9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17F3C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F7254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2834947-753E-45DF-A647-EFB413A5A496}"/>
  </w:font>
  <w:font w:name="黑体">
    <w:panose1 w:val="02010609060101010101"/>
    <w:charset w:val="86"/>
    <w:family w:val="auto"/>
    <w:pitch w:val="default"/>
    <w:sig w:usb0="800002BF" w:usb1="38CF7CFA" w:usb2="00000016" w:usb3="00000000" w:csb0="00040001" w:csb1="00000000"/>
    <w:embedRegular r:id="rId2" w:fontKey="{C6850597-FCD8-4AE5-8D1A-90E06F7E98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8700EDF9-98DB-46AC-97AC-BC5FAD1FE590}"/>
  </w:font>
  <w:font w:name="仿宋">
    <w:panose1 w:val="02010609060101010101"/>
    <w:charset w:val="86"/>
    <w:family w:val="modern"/>
    <w:pitch w:val="default"/>
    <w:sig w:usb0="800002BF" w:usb1="38CF7CFA" w:usb2="00000016" w:usb3="00000000" w:csb0="00040001" w:csb1="00000000"/>
    <w:embedRegular r:id="rId4" w:fontKey="{9EC2FEED-F5DE-45E0-9E15-91D255897DE0}"/>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9DB7660-9EC5-447A-961E-900544B76289}"/>
  </w:font>
  <w:font w:name="楷体_GB2312">
    <w:panose1 w:val="02010609030101010101"/>
    <w:charset w:val="86"/>
    <w:family w:val="auto"/>
    <w:pitch w:val="default"/>
    <w:sig w:usb0="00000001" w:usb1="080E0000" w:usb2="00000000" w:usb3="00000000" w:csb0="00040000" w:csb1="00000000"/>
    <w:embedRegular r:id="rId6" w:fontKey="{D139B503-4D33-4612-85FD-C1DD177282ED}"/>
  </w:font>
  <w:font w:name="微软雅黑">
    <w:panose1 w:val="020B0503020204020204"/>
    <w:charset w:val="86"/>
    <w:family w:val="auto"/>
    <w:pitch w:val="default"/>
    <w:sig w:usb0="80000287" w:usb1="2ACF3C50" w:usb2="00000016" w:usb3="00000000" w:csb0="0004001F" w:csb1="00000000"/>
    <w:embedRegular r:id="rId7" w:fontKey="{AE9D0AEE-BDC7-4C89-A277-4DE0FA78C3C7}"/>
  </w:font>
  <w:font w:name="方正小标宋_GBK">
    <w:panose1 w:val="02000000000000000000"/>
    <w:charset w:val="86"/>
    <w:family w:val="script"/>
    <w:pitch w:val="default"/>
    <w:sig w:usb0="A00002BF" w:usb1="38CF7CFA" w:usb2="00082016" w:usb3="00000000" w:csb0="00040001" w:csb1="00000000"/>
    <w:embedRegular r:id="rId8" w:fontKey="{D6F77F44-E85D-4A9F-9A6E-3BDB29C7B06E}"/>
  </w:font>
  <w:font w:name="仿宋_GB2312">
    <w:panose1 w:val="02010609030101010101"/>
    <w:charset w:val="86"/>
    <w:family w:val="auto"/>
    <w:pitch w:val="default"/>
    <w:sig w:usb0="00000001" w:usb1="080E0000" w:usb2="00000000" w:usb3="00000000" w:csb0="00040000" w:csb1="00000000"/>
    <w:embedRegular r:id="rId9" w:fontKey="{AD38039A-6AF4-408F-8C93-F3550B987368}"/>
  </w:font>
  <w:font w:name="ArialUnicodeMS">
    <w:altName w:val="Malgun Gothic"/>
    <w:panose1 w:val="00000000000000000000"/>
    <w:charset w:val="81"/>
    <w:family w:val="auto"/>
    <w:pitch w:val="default"/>
    <w:sig w:usb0="00000000" w:usb1="00000000" w:usb2="00000010" w:usb3="00000000" w:csb0="00080001" w:csb1="00000000"/>
    <w:embedRegular r:id="rId10" w:fontKey="{7992AF39-3B90-430C-A39F-83568D4A5044}"/>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D73C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E165B">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0B51A">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4073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0FE77CC1"/>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17444"/>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1756.05</c:v>
                </c:pt>
                <c:pt idx="1">
                  <c:v>1693.11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17560456.87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6653279.46</c:v>
                </c:pt>
                <c:pt idx="1">
                  <c:v>10907177.41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1693.11</c:v>
                </c:pt>
                <c:pt idx="1">
                  <c:v>1693.11</c:v>
                </c:pt>
                <c:pt idx="2">
                  <c:v>1693.11</c:v>
                </c:pt>
                <c:pt idx="3">
                  <c:v>1693.11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1756.05</c:v>
                </c:pt>
                <c:pt idx="1">
                  <c:v>1756.05</c:v>
                </c:pt>
                <c:pt idx="2">
                  <c:v>1756.05</c:v>
                </c:pt>
                <c:pt idx="3">
                  <c:v>1756.05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855.05</c:v>
                </c:pt>
                <c:pt idx="1">
                  <c:v>855.05</c:v>
                </c:pt>
                <c:pt idx="2">
                  <c:v>855.05</c:v>
                </c:pt>
                <c:pt idx="3">
                  <c:v>855.05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1756.05</c:v>
                </c:pt>
                <c:pt idx="1">
                  <c:v>1756.05</c:v>
                </c:pt>
                <c:pt idx="2">
                  <c:v>1756.05</c:v>
                </c:pt>
                <c:pt idx="3">
                  <c:v>1756.05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2976</Words>
  <Characters>3805</Characters>
  <Lines>86</Lines>
  <Paragraphs>24</Paragraphs>
  <TotalTime>14</TotalTime>
  <ScaleCrop>false</ScaleCrop>
  <LinksUpToDate>false</LinksUpToDate>
  <CharactersWithSpaces>4173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2023-08-04T01:00:00Z</cp:lastPrinted>
  <dcterms:modified xsi:type="dcterms:W3CDTF">2026-09-18T07:29:08Z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