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72D53">
      <w:pPr>
        <w:spacing w:line="560" w:lineRule="exact"/>
        <w:jc w:val="both"/>
        <w:rPr>
          <w:rFonts w:hint="eastAsia" w:ascii="方正小标宋简体" w:hAnsi="方正小标宋简体" w:eastAsia="方正小标宋简体" w:cs="方正小标宋简体"/>
          <w:b w:val="0"/>
          <w:bCs w:val="0"/>
          <w:sz w:val="44"/>
          <w:szCs w:val="44"/>
        </w:rPr>
      </w:pPr>
    </w:p>
    <w:p w14:paraId="6DBD93A2">
      <w:pPr>
        <w:spacing w:line="56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元氏县</w:t>
      </w:r>
      <w:r>
        <w:rPr>
          <w:rFonts w:hint="eastAsia" w:ascii="方正小标宋简体" w:hAnsi="方正小标宋简体" w:eastAsia="方正小标宋简体" w:cs="方正小标宋简体"/>
          <w:b w:val="0"/>
          <w:bCs w:val="0"/>
          <w:sz w:val="44"/>
          <w:szCs w:val="44"/>
          <w:lang w:val="en-US" w:eastAsia="zh-CN"/>
        </w:rPr>
        <w:t>文化广电体育和旅游局</w:t>
      </w:r>
    </w:p>
    <w:p w14:paraId="11A3C2DE">
      <w:pPr>
        <w:spacing w:line="560" w:lineRule="exact"/>
        <w:jc w:val="center"/>
        <w:rPr>
          <w:rFonts w:hint="eastAsia" w:ascii="宋体" w:hAnsi="宋体" w:cs="宋体"/>
          <w:b/>
          <w:bCs/>
          <w:sz w:val="44"/>
          <w:szCs w:val="44"/>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5</w:t>
      </w:r>
      <w:r>
        <w:rPr>
          <w:rFonts w:hint="eastAsia" w:ascii="方正小标宋简体" w:hAnsi="方正小标宋简体" w:eastAsia="方正小标宋简体" w:cs="方正小标宋简体"/>
          <w:b w:val="0"/>
          <w:bCs w:val="0"/>
          <w:sz w:val="44"/>
          <w:szCs w:val="44"/>
        </w:rPr>
        <w:t>年度整体支出绩效自评报告</w:t>
      </w:r>
    </w:p>
    <w:p w14:paraId="3E379A58">
      <w:pPr>
        <w:adjustRightInd w:val="0"/>
        <w:snapToGrid w:val="0"/>
        <w:spacing w:line="560" w:lineRule="exact"/>
        <w:ind w:firstLine="880" w:firstLineChars="200"/>
        <w:rPr>
          <w:rFonts w:hint="eastAsia" w:ascii="方正小标宋简体" w:hAnsi="方正小标宋简体" w:eastAsia="方正小标宋简体" w:cs="方正小标宋简体"/>
          <w:sz w:val="44"/>
          <w:szCs w:val="44"/>
        </w:rPr>
      </w:pPr>
    </w:p>
    <w:p w14:paraId="64B08A0D">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为贯彻落实县委县政府《关于全面落实预算绩效管理的实施意见》（元发﹝2019﹞7号）文件精神，遵循“科学性、规范性、客观性和公正性”的原则，元氏县文旅局对2025年整体支出情况实施了财政支出绩效评价，形成本评价报告。</w:t>
      </w:r>
    </w:p>
    <w:p w14:paraId="6AA84B29">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一、部门基本情况</w:t>
      </w:r>
    </w:p>
    <w:p w14:paraId="0027395D">
      <w:pPr>
        <w:adjustRightInd w:val="0"/>
        <w:snapToGrid w:val="0"/>
        <w:spacing w:line="56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（一）部门概况</w:t>
      </w:r>
    </w:p>
    <w:p w14:paraId="2026A453">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元氏县文化广电体育和旅游局（简称县文化广电体育和旅游局）是县政府工作部门，机构规格正科级，对外加挂元氏县文物局牌子。</w:t>
      </w:r>
    </w:p>
    <w:p w14:paraId="6979DDD2">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主要职责：贯彻执行中央和省、市、县委关于文化、宣传创作、广播电视、体育和旅游方针政策和决策部署，坚持和加强党对文化、广播电视、体育和旅游工作的集中统一领导。主要职责是：</w:t>
      </w:r>
    </w:p>
    <w:p w14:paraId="559CE28C">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1.研究拟订全县文化、广播电视、体育和旅游政策措施，起草全县文化、广播电视、体育和旅游等规范性制度文件。</w:t>
      </w:r>
    </w:p>
    <w:p w14:paraId="0B6234C9">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2.拟订全县文化事业、文化产业、广播电视领域、体育事业、体育产业和旅游业发展规划并组织实施，推进文化、广播电视、体育和旅游融合发展，推进文化、广播电视、体育和旅游体制机制改革。</w:t>
      </w:r>
    </w:p>
    <w:p w14:paraId="10F8A26A">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管理和组织全县性重大文化、体育和旅游活动，组织实施全市广播电视公共服务重大公益工程和公益活动。监管全县重点文化、体育和旅游设施建设，组织元氏文化、体育和旅游整体形象推广，促进文化产业、体育产业和旅游产业对外合作和国际市场推广；负责组织推进全域旅游工作。</w:t>
      </w:r>
    </w:p>
    <w:p w14:paraId="6AC67F54">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4.指导、管理全县文艺事业。指导艺术创作生产，推动全县各门类艺术、各艺术品种发展。指导全县电视剧行业发展和电视剧创作生产。</w:t>
      </w:r>
    </w:p>
    <w:p w14:paraId="778AEF01">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5.负责全县公共文化和旅游事业发展。推动全县文化、广播电视和旅游公共服务体系建设，深入实施文化惠民工程，统筹推进全县文化、广播电视和旅游服务标准化、均等化。</w:t>
      </w:r>
    </w:p>
    <w:p w14:paraId="562AD51F">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6.负责统筹规划全县体育事业发展，推行全民健身计划，开展群众性体育活动，实施国家体育锻炼标准，开展国民体质监测，指导体育社团工作。</w:t>
      </w:r>
    </w:p>
    <w:p w14:paraId="7965810B">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7.负责发展全县竞技体育，指导青少年业余体育发展，推进青少年体育工作，会同教育部门为国家培养和输送体育后备人才，组织指导监督体育竞赛工作，监督体育设施的使用和管理。</w:t>
      </w:r>
    </w:p>
    <w:p w14:paraId="48FF2910">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8.推进全县文化、广播电视、体育和旅游科技创新发展，推进文化、体育和旅游行业信息化、标准化建设；负责对全县广播电视节目传输覆盖、监听、监看、监测的监管，会同有关部门做好对网络视听节目和公共视听载体播放的视听节目的监管工作，指导、监管全县广播电视广告播放。推进全县应急广播体系建设，监管协调调度全县广播电视安全播出。</w:t>
      </w:r>
    </w:p>
    <w:p w14:paraId="0C384D2D">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9.负责对全县各类广播电视机构进行业务指导和监管，会同有关部门对全县网络视听节目服务机构进行管理，推进广播电视与新媒体新技术新业态融合发展，推进广电网与电信网、互联网三网融合。</w:t>
      </w:r>
    </w:p>
    <w:p w14:paraId="7FD94E05">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10.负责全县非物质文化遗产保护，推动非物质文化遗产的保护、传承、普及、弘扬和振兴。</w:t>
      </w:r>
    </w:p>
    <w:p w14:paraId="1DBF380E">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11.统筹规划全县文化产业、体育产业、广播电视产业和旅游产业。组织实施文化、体育和旅游资源普查、挖掘、保护和开发利用工作，促进文化产业、体育产业、广播电视产业和旅游产业发展。</w:t>
      </w:r>
    </w:p>
    <w:p w14:paraId="3EBC8E0E">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12.指导全县文化、广播电视、体育和旅游市场发展。对文化、广播电视、体育和旅游市场经营进行行业监管，推进全县文化、广播电视、体育和旅游行业信用体系建设，依法规范文化、广播电视、体育和旅游市场。</w:t>
      </w:r>
    </w:p>
    <w:p w14:paraId="65EF4FE8">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13.负责文化、文物、新闻出版（版权）、广播电视、电影、旅游、体育等市场综合执法，维护市场秩序。</w:t>
      </w:r>
    </w:p>
    <w:p w14:paraId="24753561">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14.负责文化遗产的管理和保护，指导和管理文物、博物馆事业，组织指导文物的保护抢救、考古发掘和开发利用工作。</w:t>
      </w:r>
    </w:p>
    <w:p w14:paraId="037C6A30">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15.承担全县文化、广播电视、体育和旅游行业安全综合协调和监督管理工作，负责全县文化、广播电视、体育和旅游行业突发应急事件的处理工作。</w:t>
      </w:r>
    </w:p>
    <w:p w14:paraId="72611AF6">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16.指导、管理全县文化、广播电视、体育和旅游对外及对港澳台交流、合作和宣传、推广工作，组织大型文化、广播电视、体育和旅游对外及对港澳台交流活动。</w:t>
      </w:r>
    </w:p>
    <w:p w14:paraId="0EAC277C">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17.完成县委、县政府交办的其他任务。</w:t>
      </w:r>
    </w:p>
    <w:p w14:paraId="4A711636">
      <w:pPr>
        <w:spacing w:line="560" w:lineRule="exact"/>
        <w:ind w:firstLine="640" w:firstLineChars="200"/>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w:t>
      </w:r>
      <w:r>
        <w:rPr>
          <w:rFonts w:hint="default" w:ascii="仿宋_GB2312" w:hAnsi="仿宋_GB2312" w:eastAsia="仿宋_GB2312" w:cs="仿宋_GB2312"/>
          <w:b w:val="0"/>
          <w:bCs w:val="0"/>
          <w:kern w:val="2"/>
          <w:sz w:val="32"/>
          <w:szCs w:val="32"/>
          <w:lang w:val="en-US" w:eastAsia="zh-CN" w:bidi="ar-SA"/>
        </w:rPr>
        <w:t>度，我单位实有人员共计</w:t>
      </w:r>
      <w:r>
        <w:rPr>
          <w:rFonts w:hint="eastAsia" w:ascii="仿宋_GB2312" w:hAnsi="仿宋_GB2312" w:eastAsia="仿宋_GB2312" w:cs="仿宋_GB2312"/>
          <w:b w:val="0"/>
          <w:bCs w:val="0"/>
          <w:kern w:val="2"/>
          <w:sz w:val="32"/>
          <w:szCs w:val="32"/>
          <w:lang w:val="en-US" w:eastAsia="zh-CN" w:bidi="ar-SA"/>
        </w:rPr>
        <w:t>71</w:t>
      </w:r>
      <w:r>
        <w:rPr>
          <w:rFonts w:hint="default" w:ascii="仿宋_GB2312" w:hAnsi="仿宋_GB2312" w:eastAsia="仿宋_GB2312" w:cs="仿宋_GB2312"/>
          <w:b w:val="0"/>
          <w:bCs w:val="0"/>
          <w:kern w:val="2"/>
          <w:sz w:val="32"/>
          <w:szCs w:val="32"/>
          <w:lang w:val="en-US" w:eastAsia="zh-CN" w:bidi="ar-SA"/>
        </w:rPr>
        <w:t>个。</w:t>
      </w:r>
    </w:p>
    <w:p w14:paraId="2EE74DAB">
      <w:pPr>
        <w:spacing w:line="560" w:lineRule="exact"/>
        <w:ind w:firstLine="640" w:firstLineChars="200"/>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其中：在职人员</w:t>
      </w:r>
      <w:r>
        <w:rPr>
          <w:rFonts w:hint="eastAsia" w:ascii="仿宋_GB2312" w:hAnsi="仿宋_GB2312" w:eastAsia="仿宋_GB2312" w:cs="仿宋_GB2312"/>
          <w:b w:val="0"/>
          <w:bCs w:val="0"/>
          <w:kern w:val="2"/>
          <w:sz w:val="32"/>
          <w:szCs w:val="32"/>
          <w:lang w:val="en-US" w:eastAsia="zh-CN" w:bidi="ar-SA"/>
        </w:rPr>
        <w:t>24</w:t>
      </w:r>
      <w:r>
        <w:rPr>
          <w:rFonts w:hint="default" w:ascii="仿宋_GB2312" w:hAnsi="仿宋_GB2312" w:eastAsia="仿宋_GB2312" w:cs="仿宋_GB2312"/>
          <w:b w:val="0"/>
          <w:bCs w:val="0"/>
          <w:kern w:val="2"/>
          <w:sz w:val="32"/>
          <w:szCs w:val="32"/>
          <w:lang w:val="en-US" w:eastAsia="zh-CN" w:bidi="ar-SA"/>
        </w:rPr>
        <w:t>个</w:t>
      </w:r>
      <w:r>
        <w:rPr>
          <w:rFonts w:hint="eastAsia"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kern w:val="2"/>
          <w:sz w:val="32"/>
          <w:szCs w:val="32"/>
          <w:lang w:val="en-US" w:eastAsia="zh-CN" w:bidi="ar-SA"/>
        </w:rPr>
        <w:t>离休人员0</w:t>
      </w:r>
      <w:r>
        <w:rPr>
          <w:rFonts w:hint="eastAsia" w:ascii="仿宋_GB2312" w:hAnsi="仿宋_GB2312" w:eastAsia="仿宋_GB2312" w:cs="仿宋_GB2312"/>
          <w:b w:val="0"/>
          <w:bCs w:val="0"/>
          <w:kern w:val="2"/>
          <w:sz w:val="32"/>
          <w:szCs w:val="32"/>
          <w:lang w:val="en-US" w:eastAsia="zh-CN" w:bidi="ar-SA"/>
        </w:rPr>
        <w:t>个，</w:t>
      </w:r>
      <w:r>
        <w:rPr>
          <w:rFonts w:hint="default" w:ascii="仿宋_GB2312" w:hAnsi="仿宋_GB2312" w:eastAsia="仿宋_GB2312" w:cs="仿宋_GB2312"/>
          <w:b w:val="0"/>
          <w:bCs w:val="0"/>
          <w:kern w:val="2"/>
          <w:sz w:val="32"/>
          <w:szCs w:val="32"/>
          <w:lang w:val="en-US" w:eastAsia="zh-CN" w:bidi="ar-SA"/>
        </w:rPr>
        <w:t>退休人员</w:t>
      </w:r>
      <w:r>
        <w:rPr>
          <w:rFonts w:hint="eastAsia" w:ascii="仿宋_GB2312" w:hAnsi="仿宋_GB2312" w:eastAsia="仿宋_GB2312" w:cs="仿宋_GB2312"/>
          <w:b w:val="0"/>
          <w:bCs w:val="0"/>
          <w:kern w:val="2"/>
          <w:sz w:val="32"/>
          <w:szCs w:val="32"/>
          <w:lang w:val="en-US" w:eastAsia="zh-CN" w:bidi="ar-SA"/>
        </w:rPr>
        <w:t>47</w:t>
      </w:r>
      <w:r>
        <w:rPr>
          <w:rFonts w:hint="default" w:ascii="仿宋_GB2312" w:hAnsi="仿宋_GB2312" w:eastAsia="仿宋_GB2312" w:cs="仿宋_GB2312"/>
          <w:b w:val="0"/>
          <w:bCs w:val="0"/>
          <w:kern w:val="2"/>
          <w:sz w:val="32"/>
          <w:szCs w:val="32"/>
          <w:lang w:val="en-US" w:eastAsia="zh-CN" w:bidi="ar-SA"/>
        </w:rPr>
        <w:t>个。</w:t>
      </w:r>
    </w:p>
    <w:p w14:paraId="0F7556B5">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另外，长聘人员0个，遗属人员</w:t>
      </w:r>
      <w:r>
        <w:rPr>
          <w:rFonts w:hint="eastAsia" w:ascii="仿宋_GB2312" w:hAnsi="仿宋_GB2312" w:eastAsia="仿宋_GB2312" w:cs="仿宋_GB2312"/>
          <w:b w:val="0"/>
          <w:bCs w:val="0"/>
          <w:kern w:val="2"/>
          <w:sz w:val="32"/>
          <w:szCs w:val="32"/>
          <w:lang w:val="en-US" w:eastAsia="zh-CN" w:bidi="ar-SA"/>
        </w:rPr>
        <w:t>10</w:t>
      </w:r>
      <w:r>
        <w:rPr>
          <w:rFonts w:hint="default" w:ascii="仿宋_GB2312" w:hAnsi="仿宋_GB2312" w:eastAsia="仿宋_GB2312" w:cs="仿宋_GB2312"/>
          <w:b w:val="0"/>
          <w:bCs w:val="0"/>
          <w:kern w:val="2"/>
          <w:sz w:val="32"/>
          <w:szCs w:val="32"/>
          <w:lang w:val="en-US" w:eastAsia="zh-CN" w:bidi="ar-SA"/>
        </w:rPr>
        <w:t>个。</w:t>
      </w:r>
    </w:p>
    <w:p w14:paraId="1A8AFA6B">
      <w:pPr>
        <w:adjustRightInd w:val="0"/>
        <w:snapToGrid w:val="0"/>
        <w:spacing w:line="56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（二）部门收支预决算情况</w:t>
      </w:r>
    </w:p>
    <w:p w14:paraId="3C797F69">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2025年我单位年初预算收入为1856.223338万元，其中一般公共预算收入1373.473338万元，基金收入482.7500万元。</w:t>
      </w:r>
    </w:p>
    <w:p w14:paraId="4749089E">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2025年我单位收入为1856.223338万元，支出为1856.223338万元。</w:t>
      </w:r>
    </w:p>
    <w:p w14:paraId="60A215B9">
      <w:pPr>
        <w:adjustRightInd w:val="0"/>
        <w:snapToGrid w:val="0"/>
        <w:spacing w:line="56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（三）部门整体支出绩效目标、指标</w:t>
      </w:r>
    </w:p>
    <w:p w14:paraId="1509A24E">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2025年度我单位共支出27.972万元正常运转经费，提高了机关的运行效率，保障了机关的正常运转。</w:t>
      </w:r>
    </w:p>
    <w:p w14:paraId="755E23D0">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项目支出1371.918771万元，一是倾力发展文化旅游基础设施建设。2025年以来，我局大力发展文化旅游基础设施建设，韩台汉风文化经济小镇基础建设项目、元氏县龙兴大道县域经济带封龙山经济建设项目都按照规定程序拨付了县级配套资本金，同时我局还成立了文化旅游基础设施建设工作专班，明确专人负责，紧盯项目进度。实现了所有绩效目标。</w:t>
      </w:r>
    </w:p>
    <w:p w14:paraId="6E7F6676">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i w:val="0"/>
          <w:iCs w:val="0"/>
          <w:caps w:val="0"/>
          <w:color w:val="auto"/>
          <w:spacing w:val="8"/>
          <w:kern w:val="2"/>
          <w:sz w:val="32"/>
          <w:szCs w:val="32"/>
          <w:shd w:val="clear" w:fill="FFFFFF"/>
          <w:lang w:val="en-US" w:eastAsia="zh-CN" w:bidi="ar-SA"/>
        </w:rPr>
      </w:pPr>
      <w:r>
        <w:rPr>
          <w:rFonts w:hint="eastAsia" w:ascii="仿宋_GB2312" w:hAnsi="仿宋_GB2312" w:eastAsia="仿宋_GB2312" w:cs="仿宋_GB2312"/>
          <w:b w:val="0"/>
          <w:bCs w:val="0"/>
          <w:kern w:val="2"/>
          <w:sz w:val="32"/>
          <w:szCs w:val="32"/>
          <w:lang w:val="en-US" w:eastAsia="zh-CN" w:bidi="ar-SA"/>
        </w:rPr>
        <w:t>二是有序推进民生工程建设。以</w:t>
      </w:r>
      <w:r>
        <w:rPr>
          <w:rFonts w:hint="eastAsia" w:ascii="仿宋_GB2312" w:hAnsi="仿宋_GB2312" w:eastAsia="仿宋_GB2312" w:cs="仿宋_GB2312"/>
          <w:b w:val="0"/>
          <w:bCs w:val="0"/>
          <w:sz w:val="32"/>
          <w:szCs w:val="32"/>
          <w:lang w:val="en-US" w:eastAsia="zh-CN"/>
        </w:rPr>
        <w:t>“文化体育惠民工程”为抓手，切实开展文化体育惠民工作。2025年底，共开展文化进基层惠民演出230场，完成率156%，高质量超额完成年度演出目标任务。图书馆积极组织全民阅读推广活动，利用服务周积极开展线上线下活动，共开展活动56场次。文化馆积极组织各项活动，共组织展览、培训和文化惠民“六进”、四季村晚等各项活动126场次，共培养基层文艺骨干260余名，充分发挥了文化阵地引领作用；在北程村、褚固村，新建篮球场2处；</w:t>
      </w:r>
      <w:r>
        <w:rPr>
          <w:rFonts w:hint="eastAsia" w:ascii="仿宋_GB2312" w:hAnsi="仿宋_GB2312" w:eastAsia="仿宋_GB2312" w:cs="仿宋_GB2312"/>
          <w:color w:val="auto"/>
          <w:sz w:val="32"/>
          <w:szCs w:val="32"/>
          <w:lang w:val="en-US" w:eastAsia="zh-CN"/>
        </w:rPr>
        <w:t>同时新建南尖中五人制足球场，提升玩湃公园健身步道，</w:t>
      </w:r>
      <w:r>
        <w:rPr>
          <w:rFonts w:hint="eastAsia" w:ascii="仿宋_GB2312" w:hAnsi="仿宋_GB2312" w:eastAsia="仿宋_GB2312" w:cs="仿宋_GB2312"/>
          <w:i w:val="0"/>
          <w:iCs w:val="0"/>
          <w:caps w:val="0"/>
          <w:color w:val="auto"/>
          <w:spacing w:val="8"/>
          <w:kern w:val="2"/>
          <w:sz w:val="32"/>
          <w:szCs w:val="32"/>
          <w:shd w:val="clear" w:fill="FFFFFF"/>
          <w:lang w:val="en-US" w:eastAsia="zh-CN" w:bidi="ar-SA"/>
        </w:rPr>
        <w:t>健身场地建设满足了更多群众健身需求。文化体育民生工程建设，实现了我单位预算资金绩效目标。</w:t>
      </w:r>
    </w:p>
    <w:p w14:paraId="6F69C22E">
      <w:pPr>
        <w:keepNext w:val="0"/>
        <w:keepLines w:val="0"/>
        <w:pageBreakBefore w:val="0"/>
        <w:widowControl w:val="0"/>
        <w:numPr>
          <w:ilvl w:val="0"/>
          <w:numId w:val="0"/>
        </w:numPr>
        <w:kinsoku/>
        <w:wordWrap/>
        <w:overflowPunct/>
        <w:topLinePunct w:val="0"/>
        <w:autoSpaceDE/>
        <w:autoSpaceDN/>
        <w:bidi w:val="0"/>
        <w:adjustRightInd/>
        <w:snapToGrid/>
        <w:ind w:firstLine="672" w:firstLineChars="200"/>
        <w:textAlignment w:val="auto"/>
        <w:rPr>
          <w:rFonts w:hint="eastAsia" w:ascii="仿宋_GB2312" w:hAnsi="仿宋_GB2312" w:eastAsia="仿宋_GB2312" w:cs="仿宋_GB2312"/>
          <w:i w:val="0"/>
          <w:iCs w:val="0"/>
          <w:caps w:val="0"/>
          <w:color w:val="auto"/>
          <w:spacing w:val="8"/>
          <w:sz w:val="32"/>
          <w:szCs w:val="32"/>
          <w:shd w:val="clear" w:fill="FFFFFF"/>
          <w:lang w:val="en-US" w:eastAsia="zh-CN"/>
        </w:rPr>
      </w:pPr>
      <w:r>
        <w:rPr>
          <w:rFonts w:hint="eastAsia" w:ascii="仿宋_GB2312" w:hAnsi="仿宋_GB2312" w:eastAsia="仿宋_GB2312" w:cs="仿宋_GB2312"/>
          <w:i w:val="0"/>
          <w:iCs w:val="0"/>
          <w:caps w:val="0"/>
          <w:color w:val="auto"/>
          <w:spacing w:val="8"/>
          <w:kern w:val="2"/>
          <w:sz w:val="32"/>
          <w:szCs w:val="32"/>
          <w:shd w:val="clear" w:fill="FFFFFF"/>
          <w:lang w:val="en-US" w:eastAsia="zh-CN" w:bidi="ar-SA"/>
        </w:rPr>
        <w:t>三是推动元氏文化艺术繁荣发展。2025年，在精品创作方向，紧扣时代主题开展文艺创作</w:t>
      </w:r>
      <w:r>
        <w:rPr>
          <w:rFonts w:hint="eastAsia" w:ascii="仿宋_GB2312" w:hAnsi="仿宋_GB2312" w:eastAsia="仿宋_GB2312" w:cs="仿宋_GB2312"/>
          <w:i w:val="0"/>
          <w:iCs w:val="0"/>
          <w:caps w:val="0"/>
          <w:color w:val="auto"/>
          <w:spacing w:val="8"/>
          <w:sz w:val="32"/>
          <w:szCs w:val="32"/>
          <w:shd w:val="clear" w:fill="FFFFFF"/>
          <w:lang w:val="en-US" w:eastAsia="zh-CN"/>
        </w:rPr>
        <w:t>。在河北省群众艺术馆“感恩奋进、双争有我”优秀节目展演中，文化馆获评优秀组织奖，选送节目成功摘得奖项，实现“组织奖+作品奖”双丰收。选送的歌曲《阔步新时代》，自创歌曲《元氏行》被河北省群艺馆、河北省群众文化学会分别评为二等奖和三等奖；选送的歌曲《等待》《温柔乡》《最美的歌唱给妈妈》在石家庄市群众文艺团队展演活动音乐专场活动中荣获优秀奖；选送的戏曲《穆桂英挂帅》在音戏曲专场活动中荣获优秀奖；选送的舞蹈《祖国万岁》、《欢聚一堂》在舞蹈专场活动中荣获优秀奖。此次获奖既是对我馆创作与组织能力的双重肯定，也为元氏县城建设增添了文化亮色，有效提升了群众的文化获得感与幸福感。</w:t>
      </w:r>
    </w:p>
    <w:p w14:paraId="26E1F0A2">
      <w:pPr>
        <w:keepNext w:val="0"/>
        <w:keepLines w:val="0"/>
        <w:pageBreakBefore w:val="0"/>
        <w:widowControl w:val="0"/>
        <w:numPr>
          <w:ilvl w:val="0"/>
          <w:numId w:val="0"/>
        </w:numPr>
        <w:kinsoku/>
        <w:wordWrap/>
        <w:overflowPunct/>
        <w:topLinePunct w:val="0"/>
        <w:autoSpaceDE/>
        <w:autoSpaceDN/>
        <w:bidi w:val="0"/>
        <w:adjustRightInd/>
        <w:snapToGrid/>
        <w:ind w:firstLine="67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i w:val="0"/>
          <w:iCs w:val="0"/>
          <w:caps w:val="0"/>
          <w:color w:val="auto"/>
          <w:spacing w:val="8"/>
          <w:kern w:val="2"/>
          <w:sz w:val="32"/>
          <w:szCs w:val="32"/>
          <w:shd w:val="clear" w:fill="FFFFFF"/>
          <w:lang w:val="en-US" w:eastAsia="zh-CN" w:bidi="ar-SA"/>
        </w:rPr>
        <w:t>四是激</w:t>
      </w:r>
      <w:r>
        <w:rPr>
          <w:rFonts w:hint="eastAsia" w:ascii="仿宋_GB2312" w:hAnsi="仿宋_GB2312" w:eastAsia="仿宋_GB2312" w:cs="仿宋_GB2312"/>
          <w:i w:val="0"/>
          <w:iCs w:val="0"/>
          <w:caps w:val="0"/>
          <w:color w:val="auto"/>
          <w:spacing w:val="8"/>
          <w:sz w:val="32"/>
          <w:szCs w:val="32"/>
          <w:shd w:val="clear" w:fill="FFFFFF"/>
          <w:lang w:val="en-US" w:eastAsia="zh-CN"/>
        </w:rPr>
        <w:t>发元氏体育发展新活力。以创建</w:t>
      </w:r>
      <w:r>
        <w:rPr>
          <w:rFonts w:hint="eastAsia" w:ascii="仿宋_GB2312" w:hAnsi="仿宋_GB2312" w:eastAsia="仿宋_GB2312" w:cs="仿宋_GB2312"/>
          <w:b w:val="0"/>
          <w:bCs w:val="0"/>
          <w:sz w:val="32"/>
          <w:szCs w:val="32"/>
          <w:lang w:val="en-US" w:eastAsia="zh-CN"/>
        </w:rPr>
        <w:t>全民健身公共服务体系示范区为引领，</w:t>
      </w:r>
      <w:r>
        <w:rPr>
          <w:rFonts w:hint="eastAsia" w:ascii="仿宋_GB2312" w:hAnsi="仿宋_GB2312" w:eastAsia="仿宋_GB2312" w:cs="仿宋_GB2312"/>
          <w:color w:val="auto"/>
          <w:sz w:val="32"/>
          <w:szCs w:val="32"/>
          <w:lang w:val="en-US" w:eastAsia="zh-CN"/>
        </w:rPr>
        <w:t>成功承办多项区域性高水平赛事。其中第二届京津冀滑翔伞大赛吸引了来自京津冀及周边7个省份的130名运动员参赛；京津冀第八届蟠龙湖铁人三项赛暨石家庄冀动少年小铁人赛，吸引了全国300余名运动员和爱好者参与；第二届“封龙杯”大力士赛吸引来来自全国14个省市60名专业运动员参与。此外，中国·石家庄山地机车越野赛作为年度城市休闲运动节的开篇之战，吸引了来自全国7个省份的近百名选手。</w:t>
      </w:r>
      <w:r>
        <w:rPr>
          <w:rFonts w:hint="eastAsia" w:ascii="仿宋_GB2312" w:hAnsi="仿宋_GB2312" w:eastAsia="仿宋_GB2312" w:cs="仿宋_GB2312"/>
          <w:b w:val="0"/>
          <w:bCs w:val="0"/>
          <w:sz w:val="32"/>
          <w:szCs w:val="32"/>
          <w:lang w:val="en-US" w:eastAsia="zh-CN"/>
        </w:rPr>
        <w:t>同时成功引进“寻找最美中华”乡村定向赛国家级体育赛事，赛事参赛选手600余名，赛事充分依托元氏独特的自然与人文资源，将体育竞技与地方特色有机融合，让参赛者在激烈地角逐中切身感受“千年古县”的深厚文化魅力。“体育+文旅”这一创新模式，不仅显著丰富了赛事内涵，也为元氏乡村振兴注入了新的活力</w:t>
      </w:r>
      <w:r>
        <w:rPr>
          <w:rFonts w:hint="eastAsia" w:ascii="仿宋_GB2312" w:hAnsi="仿宋_GB2312" w:eastAsia="仿宋_GB2312" w:cs="仿宋_GB2312"/>
          <w:color w:val="FF0000"/>
          <w:sz w:val="32"/>
          <w:szCs w:val="32"/>
          <w:lang w:val="en-US" w:eastAsia="zh-CN"/>
        </w:rPr>
        <w:t>。</w:t>
      </w:r>
    </w:p>
    <w:p w14:paraId="79504D49">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总之，我单位2025年预算资金的整体支出情况良好，实现了预算资金的绩效目标。</w:t>
      </w:r>
    </w:p>
    <w:p w14:paraId="12172B77">
      <w:pPr>
        <w:adjustRightInd w:val="0"/>
        <w:snapToGrid w:val="0"/>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二、自评工作开展情况</w:t>
      </w:r>
    </w:p>
    <w:p w14:paraId="6A5F2491">
      <w:pPr>
        <w:adjustRightInd w:val="0"/>
        <w:snapToGrid w:val="0"/>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（一）自评的组织工作</w:t>
      </w:r>
    </w:p>
    <w:p w14:paraId="18B67244">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我局结合实际情况成立专项资金绩效自评小组，对专项资金的开展情况、实施过程、预算安排、资金拨付、财务管理等情况进行了自评。在资金的实际执行过程中，严格按资金管理办法及现有财政、财务管理制度要求使用资金，严格遵守专项经费审批程序，规范单位项目管理和财务管理，科学规范使用，在使用过程中做到专款专用，按时、按质、按量完成项目任务，保证各项工作良好运行。</w:t>
      </w:r>
    </w:p>
    <w:p w14:paraId="46677432">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（二）建立绩效评价指标体系</w:t>
      </w:r>
    </w:p>
    <w:p w14:paraId="6D92D93C">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我单位在开展预算自评工作时，针对具体绩效评价对象的特点，设计能够体现项目特点绩效评价指标体系。比如，我单位是公共文化体育服务职能部门，所以我单位在设定评价指标是侧重群众满意度情况及各种活动设施完成率，总分设定为100分。二、三级指标根据各个项目的内容进行设定，符合我单位项目的实际实施情况。</w:t>
      </w:r>
    </w:p>
    <w:p w14:paraId="3FB1BEC6">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三、部门整体支出绩效目标实现情况及指标分析</w:t>
      </w:r>
    </w:p>
    <w:p w14:paraId="7B1F638B">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（一）总体绩效目标实现情况</w:t>
      </w:r>
    </w:p>
    <w:p w14:paraId="27D71EA7">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根据县财政局预算绩效管理要求，我单位确定预算项目和预算额度，并根据项目的实际实施情况，制定合适合理的绩效目标和绩效指标，并制定绩效指标评价标准，为预算绩效控制、绩效分项和绩效评价打下基础。</w:t>
      </w:r>
    </w:p>
    <w:p w14:paraId="23C8DED2">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我单位2025年一般公共预算的项目有：中央补助三馆一站免费开放经费，省级补助三馆一站免费开放经费、中央补助地方公共文化服务体系建设补助经费、文物看护经费等。其中，中央补助地方三馆一站免费开放经费完成举办文体活动30场次，举办文化艺术知识培训18次，送公益文化下乡30场次，实现了绩效目标，完成了项目实施计划。省级补助地方三馆一站免费开放经费完成举办群众喜闻乐见的文体活动30场次，举办文化艺术知识讲座12场次，公益文化下乡24场次，实现了绩效目标，完成了项目实施计划。中央补助地方公共文化服务下乡实现了举办文体活动30场次，建设了综合性的文体活动场地，开展了文化交流6次，开展文化艺术知识培训28场次，实现了绩效指标，完成了项目实施计划。文物看护经费完成了为维护蟠龙湖日常秩序，组织人员每周进行日常巡查21次。实现了绩效目标，完成了项目实施计划。</w:t>
      </w:r>
    </w:p>
    <w:p w14:paraId="268C8BD6">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基金预算项目有：健身器材购置项目、京津冀铁人三项赛、全民健身提升工程经费等。其中，健身器材购置项目完善补充健身路径48处，实现了绩效目标，完成了项目实施计划。全民健身提升工程经费完成了褚固村、北程村篮球场等场地建设，实现了绩效目标，完成了项目实施计划。</w:t>
      </w:r>
    </w:p>
    <w:p w14:paraId="6AF76A09">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总之，我单位2025年所有的项目都根据项目的实施计划，完成了绩效目标，做到了资金的充分合理利用。</w:t>
      </w:r>
    </w:p>
    <w:p w14:paraId="083722C9">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（二）分项绩效目标实现情况及指标分析</w:t>
      </w:r>
    </w:p>
    <w:p w14:paraId="57C97AD8">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1.项目投入和实施</w:t>
      </w:r>
    </w:p>
    <w:p w14:paraId="4705DF18">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中央补助地方公共文化服务体系建设资金项目，资金共计226.24万元，项目资金财政局都及时拨付到我单位，我单位严格按照专款专用和专项资金拨付程序，进项项目的实施和资金的拨付。</w:t>
      </w:r>
    </w:p>
    <w:p w14:paraId="0480E2D8">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2.项目产出</w:t>
      </w:r>
    </w:p>
    <w:p w14:paraId="4A51883B">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数量指标，开展文体活动实际完成30次，完成预期目标。开展公益讲座12次，完成预期目标。</w:t>
      </w:r>
    </w:p>
    <w:p w14:paraId="332C2D68">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可持续影响指标，两个分馆的正常运转率达到98%，完成预期目标。</w:t>
      </w:r>
    </w:p>
    <w:p w14:paraId="568AD450">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服务对象满意度指标,群众满意度达到95%，实现预期目标。</w:t>
      </w:r>
    </w:p>
    <w:p w14:paraId="67C1478C">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四、评价结论和评价等级</w:t>
      </w:r>
    </w:p>
    <w:p w14:paraId="65BBDAC1">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根据部门职责定位和各项工作履职情况进行综合评价，我单位整体支出绩效评价得分≥85分，评为优秀。</w:t>
      </w:r>
    </w:p>
    <w:p w14:paraId="7927C0BF">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五、存在的问题及改进措施</w:t>
      </w:r>
    </w:p>
    <w:p w14:paraId="140FB6A8">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2025年我单位所有预算项目基本实现绩效目标，但是还是有不足，一是基层文化体育人员缺乏，虽然预算目标已经实现，但是质量还有待提高。二是我单位是文化体育职能部门，2025年基本公共文化体育场馆全部及时免费开放，同时举办了群众喜闻乐见的大型文体活动，但开展活动质量还需进一步提高。</w:t>
      </w:r>
    </w:p>
    <w:p w14:paraId="23B697EC">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下一步，我单位将根据县域实时情况，开展线上+线下相结合的方法，举办基层文体活动指导员培训，提高基层文体队伍素质，开展群众喜闻乐见的文体活动，更好的实现项目绩效目标。</w:t>
      </w:r>
    </w:p>
    <w:p w14:paraId="5158F4E4">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六、评价工作组人员名单及签字</w:t>
      </w:r>
    </w:p>
    <w:p w14:paraId="6A18741D">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组  长：李仁杰</w:t>
      </w:r>
    </w:p>
    <w:p w14:paraId="724F3C70">
      <w:pPr>
        <w:spacing w:line="560" w:lineRule="exact"/>
        <w:ind w:firstLine="640" w:firstLineChars="2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副组长：宋安奇</w:t>
      </w:r>
    </w:p>
    <w:p w14:paraId="7006ED1E">
      <w:pPr>
        <w:spacing w:line="560" w:lineRule="exact"/>
        <w:ind w:firstLine="640" w:firstLineChars="200"/>
        <w:rPr>
          <w:rFonts w:hint="default"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组  员：巩  钰</w:t>
      </w:r>
    </w:p>
    <w:p w14:paraId="4CA12AAE">
      <w:pPr>
        <w:spacing w:line="560" w:lineRule="exact"/>
        <w:ind w:firstLine="1920" w:firstLineChars="6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王  丽</w:t>
      </w:r>
    </w:p>
    <w:p w14:paraId="645EAF9B">
      <w:pPr>
        <w:spacing w:line="560" w:lineRule="exact"/>
        <w:ind w:firstLine="1920" w:firstLineChars="600"/>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赵艳肖</w:t>
      </w:r>
    </w:p>
    <w:p w14:paraId="0601145A">
      <w:pPr>
        <w:rPr>
          <w:rFonts w:hint="eastAsia" w:ascii="仿宋_GB2312" w:hAnsi="仿宋_GB2312" w:eastAsia="仿宋_GB2312" w:cs="仿宋_GB2312"/>
          <w:sz w:val="32"/>
          <w:szCs w:val="32"/>
        </w:rPr>
      </w:pPr>
    </w:p>
    <w:p w14:paraId="789733C8">
      <w:pPr>
        <w:rPr>
          <w:rFonts w:hint="eastAsia" w:ascii="仿宋_GB2312" w:hAnsi="仿宋_GB2312" w:eastAsia="仿宋_GB2312" w:cs="仿宋_GB2312"/>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DNjMWE1MjYxZTgyZDFjYTI1N2Q2Nzg1ZDExZWUifQ=="/>
  </w:docVars>
  <w:rsids>
    <w:rsidRoot w:val="1A304D77"/>
    <w:rsid w:val="00F14874"/>
    <w:rsid w:val="03A74512"/>
    <w:rsid w:val="145C6C53"/>
    <w:rsid w:val="196F3AFC"/>
    <w:rsid w:val="1A304D77"/>
    <w:rsid w:val="36E745D8"/>
    <w:rsid w:val="371046DD"/>
    <w:rsid w:val="3FFF31E7"/>
    <w:rsid w:val="4352109E"/>
    <w:rsid w:val="486B1A68"/>
    <w:rsid w:val="4A34124E"/>
    <w:rsid w:val="4A49386D"/>
    <w:rsid w:val="4FD73056"/>
    <w:rsid w:val="50C57353"/>
    <w:rsid w:val="517448D5"/>
    <w:rsid w:val="547F76C0"/>
    <w:rsid w:val="55E42029"/>
    <w:rsid w:val="58E870EC"/>
    <w:rsid w:val="5CCC3817"/>
    <w:rsid w:val="5F0059FA"/>
    <w:rsid w:val="6F321C00"/>
    <w:rsid w:val="745556F3"/>
    <w:rsid w:val="75DC4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1"/>
    <w:uiPriority w:val="0"/>
    <w:pPr>
      <w:spacing w:after="120" w:afterLines="0" w:afterAutospacing="0"/>
      <w:ind w:left="420" w:left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Body Text First Indent 2"/>
    <w:basedOn w:val="2"/>
    <w:next w:val="1"/>
    <w:qFormat/>
    <w:uiPriority w:val="0"/>
    <w:pPr>
      <w:ind w:firstLine="420" w:firstLineChars="200"/>
    </w:pPr>
  </w:style>
  <w:style w:type="character" w:styleId="7">
    <w:name w:val="Strong"/>
    <w:basedOn w:val="6"/>
    <w:qFormat/>
    <w:uiPriority w:val="0"/>
    <w:rPr>
      <w:b/>
    </w:rPr>
  </w:style>
  <w:style w:type="character" w:customStyle="1" w:styleId="8">
    <w:name w:val="fontstyle01"/>
    <w:qFormat/>
    <w:uiPriority w:val="0"/>
    <w:rPr>
      <w:rFonts w:hint="eastAsia" w:ascii="仿宋_GB2312" w:eastAsia="仿宋_GB2312"/>
      <w:color w:val="000000"/>
      <w:sz w:val="32"/>
      <w:szCs w:val="32"/>
    </w:rPr>
  </w:style>
  <w:style w:type="paragraph" w:customStyle="1" w:styleId="9">
    <w:name w:val="Default"/>
    <w:basedOn w:val="1"/>
    <w:qFormat/>
    <w:uiPriority w:val="0"/>
    <w:pPr>
      <w:adjustRightInd w:val="0"/>
    </w:pPr>
    <w:rPr>
      <w:rFonts w:ascii="黑体" w:hAnsi="Calibri" w:cs="宋体"/>
    </w:rPr>
  </w:style>
  <w:style w:type="paragraph" w:customStyle="1" w:styleId="10">
    <w:name w:val="_Style 5"/>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4404</Words>
  <Characters>4584</Characters>
  <Lines>0</Lines>
  <Paragraphs>0</Paragraphs>
  <TotalTime>31</TotalTime>
  <ScaleCrop>false</ScaleCrop>
  <LinksUpToDate>false</LinksUpToDate>
  <CharactersWithSpaces>4592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Administrator</dc:creator>
  <cp:lastModifiedBy>巩钰</cp:lastModifiedBy>
  <cp:lastPrinted>2026-05-26T09:23:00Z</cp:lastPrinted>
  <dcterms:modified xsi:type="dcterms:W3CDTF">2026-07-28T04:04:06Z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E721BAF6ADD842A0A2C44A97179DB45A_13</vt:lpwstr>
  </property>
  <property fmtid="{D5CDD505-2E9C-101B-9397-08002B2CF9AE}" pid="4" name="KSOTemplateDocerSaveRecord">
    <vt:lpwstr>eyJoZGlkIjoiYjQ2NDNjMWE1MjYxZTgyZDFjYTI1N2Q2Nzg1ZDExZWUiLCJ1c2VySWQiOiIxNTY2NjE4NTI2In0=</vt:lpwstr>
  </property>
</Properties>
</file>