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B5A838">
      <w:pPr>
        <w:jc w:val="left"/>
        <w:rPr>
          <w:bCs/>
          <w:color w:val="FF0000"/>
          <w:sz w:val="44"/>
          <w:szCs w:val="44"/>
          <w:u w:val="single"/>
        </w:rPr>
      </w:pPr>
    </w:p>
    <w:p w14:paraId="3DF87DD9">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pacing w:val="17"/>
          <w:sz w:val="44"/>
          <w:szCs w:val="44"/>
          <w:lang w:eastAsia="zh-CN"/>
        </w:rPr>
      </w:pPr>
      <w:r>
        <w:rPr>
          <w:rFonts w:hint="eastAsia" w:ascii="方正小标宋简体" w:hAnsi="方正小标宋简体" w:eastAsia="方正小标宋简体" w:cs="方正小标宋简体"/>
          <w:b w:val="0"/>
          <w:bCs w:val="0"/>
          <w:spacing w:val="11"/>
          <w:sz w:val="44"/>
          <w:szCs w:val="44"/>
          <w:lang w:eastAsia="zh-CN"/>
        </w:rPr>
        <w:t>元氏县农业</w:t>
      </w:r>
      <w:bookmarkStart w:id="2" w:name="_GoBack"/>
      <w:bookmarkEnd w:id="2"/>
      <w:r>
        <w:rPr>
          <w:rFonts w:hint="eastAsia" w:ascii="方正小标宋简体" w:hAnsi="方正小标宋简体" w:eastAsia="方正小标宋简体" w:cs="方正小标宋简体"/>
          <w:b w:val="0"/>
          <w:bCs w:val="0"/>
          <w:spacing w:val="11"/>
          <w:sz w:val="44"/>
          <w:szCs w:val="44"/>
          <w:lang w:eastAsia="zh-CN"/>
        </w:rPr>
        <w:t>农村局</w:t>
      </w:r>
    </w:p>
    <w:p w14:paraId="20DB0C86">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关于印发《元氏县202</w:t>
      </w:r>
      <w:r>
        <w:rPr>
          <w:rFonts w:hint="eastAsia" w:ascii="方正小标宋简体" w:hAnsi="方正小标宋简体" w:eastAsia="方正小标宋简体" w:cs="方正小标宋简体"/>
          <w:b w:val="0"/>
          <w:bCs w:val="0"/>
          <w:sz w:val="44"/>
          <w:szCs w:val="44"/>
          <w:lang w:val="en-US" w:eastAsia="zh-CN"/>
        </w:rPr>
        <w:t>6</w:t>
      </w:r>
      <w:r>
        <w:rPr>
          <w:rFonts w:hint="eastAsia" w:ascii="方正小标宋简体" w:hAnsi="方正小标宋简体" w:eastAsia="方正小标宋简体" w:cs="方正小标宋简体"/>
          <w:b w:val="0"/>
          <w:bCs w:val="0"/>
          <w:sz w:val="44"/>
          <w:szCs w:val="44"/>
        </w:rPr>
        <w:t>年耕地地力保护补贴工作实施方案》的通知</w:t>
      </w:r>
    </w:p>
    <w:p w14:paraId="5981789C">
      <w:pPr>
        <w:spacing w:line="360" w:lineRule="auto"/>
        <w:rPr>
          <w:b/>
          <w:bCs/>
          <w:sz w:val="32"/>
          <w:szCs w:val="32"/>
        </w:rPr>
      </w:pPr>
    </w:p>
    <w:p w14:paraId="4B53066C">
      <w:pPr>
        <w:spacing w:line="360" w:lineRule="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各乡镇：</w:t>
      </w:r>
    </w:p>
    <w:p w14:paraId="787C6DB3">
      <w:pPr>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bookmarkStart w:id="0" w:name="_Hlk45030128"/>
      <w:r>
        <w:rPr>
          <w:rFonts w:hint="eastAsia" w:ascii="仿宋_GB2312" w:hAnsi="仿宋_GB2312" w:eastAsia="仿宋_GB2312" w:cs="仿宋_GB2312"/>
          <w:sz w:val="32"/>
          <w:szCs w:val="32"/>
        </w:rPr>
        <w:t>河北省财政厅关于提前下达202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中央耕地建设与利用</w:t>
      </w:r>
      <w:r>
        <w:rPr>
          <w:rFonts w:hint="eastAsia" w:ascii="仿宋_GB2312" w:hAnsi="仿宋_GB2312" w:eastAsia="仿宋_GB2312" w:cs="仿宋_GB2312"/>
          <w:sz w:val="32"/>
          <w:szCs w:val="32"/>
        </w:rPr>
        <w:t>资金的通知》（冀财农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08</w:t>
      </w:r>
      <w:r>
        <w:rPr>
          <w:rFonts w:hint="eastAsia" w:ascii="仿宋_GB2312" w:hAnsi="仿宋_GB2312" w:eastAsia="仿宋_GB2312" w:cs="仿宋_GB2312"/>
          <w:sz w:val="32"/>
          <w:szCs w:val="32"/>
        </w:rPr>
        <w:t>号）</w:t>
      </w:r>
      <w:bookmarkEnd w:id="0"/>
      <w:r>
        <w:rPr>
          <w:rFonts w:hint="eastAsia" w:ascii="仿宋_GB2312" w:hAnsi="仿宋_GB2312" w:eastAsia="仿宋_GB2312" w:cs="仿宋_GB2312"/>
          <w:sz w:val="32"/>
          <w:szCs w:val="32"/>
          <w:lang w:eastAsia="zh-CN"/>
        </w:rPr>
        <w:t>、《河北省财政厅</w:t>
      </w:r>
      <w:r>
        <w:rPr>
          <w:rFonts w:hint="eastAsia" w:ascii="仿宋_GB2312" w:hAnsi="仿宋_GB2312" w:eastAsia="仿宋_GB2312" w:cs="仿宋_GB2312"/>
          <w:sz w:val="32"/>
          <w:szCs w:val="32"/>
          <w:lang w:val="en-US" w:eastAsia="zh-CN"/>
        </w:rPr>
        <w:t xml:space="preserve"> 河北省农业农村厅关于印发</w:t>
      </w:r>
      <w:r>
        <w:rPr>
          <w:rFonts w:hint="eastAsia" w:ascii="微软雅黑" w:hAnsi="微软雅黑" w:eastAsia="微软雅黑" w:cs="微软雅黑"/>
          <w:sz w:val="32"/>
          <w:szCs w:val="32"/>
          <w:lang w:val="en-US" w:eastAsia="zh-CN"/>
        </w:rPr>
        <w:t>〈</w:t>
      </w:r>
      <w:r>
        <w:rPr>
          <w:rFonts w:hint="eastAsia" w:ascii="仿宋_GB2312" w:hAnsi="仿宋_GB2312" w:eastAsia="仿宋_GB2312" w:cs="仿宋_GB2312"/>
          <w:sz w:val="32"/>
          <w:szCs w:val="32"/>
          <w:lang w:val="en-US" w:eastAsia="zh-CN"/>
        </w:rPr>
        <w:t>河北省农业“三项补贴”改革工作实施方案</w:t>
      </w:r>
      <w:r>
        <w:rPr>
          <w:rFonts w:hint="eastAsia" w:ascii="微软雅黑" w:hAnsi="微软雅黑" w:eastAsia="微软雅黑" w:cs="微软雅黑"/>
          <w:sz w:val="32"/>
          <w:szCs w:val="32"/>
          <w:lang w:val="en-US" w:eastAsia="zh-CN"/>
        </w:rPr>
        <w:t>〉</w:t>
      </w:r>
      <w:r>
        <w:rPr>
          <w:rFonts w:hint="eastAsia" w:ascii="仿宋_GB2312" w:hAnsi="仿宋_GB2312" w:eastAsia="仿宋_GB2312" w:cs="仿宋_GB2312"/>
          <w:sz w:val="32"/>
          <w:szCs w:val="32"/>
          <w:lang w:val="en-US" w:eastAsia="zh-CN"/>
        </w:rPr>
        <w:t>的通知</w:t>
      </w:r>
      <w:r>
        <w:rPr>
          <w:rFonts w:hint="eastAsia" w:ascii="仿宋_GB2312" w:hAnsi="仿宋_GB2312" w:eastAsia="仿宋_GB2312" w:cs="仿宋_GB2312"/>
          <w:sz w:val="32"/>
          <w:szCs w:val="32"/>
          <w:lang w:eastAsia="zh-CN"/>
        </w:rPr>
        <w:t>》（冀财农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16]58</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）及河北省农业农村厅关于印发《</w:t>
      </w:r>
      <w:r>
        <w:rPr>
          <w:rFonts w:hint="eastAsia" w:ascii="仿宋_GB2312" w:hAnsi="仿宋_GB2312" w:eastAsia="仿宋_GB2312" w:cs="仿宋_GB2312"/>
          <w:sz w:val="32"/>
          <w:szCs w:val="32"/>
          <w:lang w:val="en-US" w:eastAsia="zh-CN"/>
        </w:rPr>
        <w:t>2026年中央和省级财政提前下达农业转移支付项目实施方案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的通知</w:t>
      </w:r>
      <w:r>
        <w:rPr>
          <w:rFonts w:hint="eastAsia" w:ascii="仿宋_GB2312" w:hAnsi="仿宋_GB2312" w:eastAsia="仿宋_GB2312" w:cs="仿宋_GB2312"/>
          <w:sz w:val="32"/>
          <w:szCs w:val="32"/>
          <w:lang w:eastAsia="zh-CN"/>
        </w:rPr>
        <w:t>（冀农财发</w:t>
      </w:r>
      <w:r>
        <w:rPr>
          <w:rFonts w:hint="eastAsia" w:ascii="仿宋_GB2312" w:hAnsi="仿宋_GB2312" w:eastAsia="仿宋_GB2312" w:cs="仿宋_GB2312"/>
          <w:sz w:val="32"/>
          <w:szCs w:val="32"/>
          <w:lang w:val="en-US" w:eastAsia="zh-CN"/>
        </w:rPr>
        <w:t>[2026]1号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要求，</w:t>
      </w:r>
      <w:r>
        <w:rPr>
          <w:rFonts w:hint="eastAsia" w:ascii="仿宋_GB2312" w:hAnsi="仿宋_GB2312" w:eastAsia="仿宋_GB2312" w:cs="仿宋_GB2312"/>
          <w:sz w:val="32"/>
          <w:szCs w:val="32"/>
          <w:lang w:eastAsia="zh-CN"/>
        </w:rPr>
        <w:t>结合本县实际，</w:t>
      </w:r>
      <w:r>
        <w:rPr>
          <w:rFonts w:hint="eastAsia" w:ascii="仿宋_GB2312" w:hAnsi="仿宋_GB2312" w:eastAsia="仿宋_GB2312" w:cs="仿宋_GB2312"/>
          <w:sz w:val="32"/>
          <w:szCs w:val="32"/>
        </w:rPr>
        <w:t>制定了《</w:t>
      </w:r>
      <w:r>
        <w:rPr>
          <w:rFonts w:hint="eastAsia" w:ascii="仿宋_GB2312" w:hAnsi="仿宋_GB2312" w:eastAsia="仿宋_GB2312" w:cs="仿宋_GB2312"/>
          <w:bCs/>
          <w:sz w:val="32"/>
          <w:szCs w:val="32"/>
        </w:rPr>
        <w:t>元氏县202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bookmarkStart w:id="1" w:name="_Hlk45010569"/>
      <w:r>
        <w:rPr>
          <w:rFonts w:hint="eastAsia" w:ascii="仿宋_GB2312" w:hAnsi="仿宋_GB2312" w:eastAsia="仿宋_GB2312" w:cs="仿宋_GB2312"/>
          <w:bCs/>
          <w:sz w:val="32"/>
          <w:szCs w:val="32"/>
        </w:rPr>
        <w:t>耕地地力保护补贴</w:t>
      </w:r>
      <w:bookmarkEnd w:id="1"/>
      <w:r>
        <w:rPr>
          <w:rFonts w:hint="eastAsia" w:ascii="仿宋_GB2312" w:hAnsi="仿宋_GB2312" w:eastAsia="仿宋_GB2312" w:cs="仿宋_GB2312"/>
          <w:bCs/>
          <w:sz w:val="32"/>
          <w:szCs w:val="32"/>
        </w:rPr>
        <w:t>工作实施方案》。</w:t>
      </w:r>
      <w:r>
        <w:rPr>
          <w:rFonts w:hint="eastAsia" w:ascii="仿宋_GB2312" w:hAnsi="仿宋_GB2312" w:eastAsia="仿宋_GB2312" w:cs="仿宋_GB2312"/>
          <w:sz w:val="32"/>
          <w:szCs w:val="32"/>
        </w:rPr>
        <w:t>现印发给你们，请认真遵照执行。</w:t>
      </w:r>
    </w:p>
    <w:p w14:paraId="0B14B647">
      <w:pPr>
        <w:spacing w:line="360" w:lineRule="auto"/>
        <w:ind w:firstLine="640"/>
        <w:rPr>
          <w:rFonts w:hint="eastAsia" w:ascii="仿宋_GB2312" w:hAnsi="仿宋_GB2312" w:eastAsia="仿宋_GB2312" w:cs="仿宋_GB2312"/>
          <w:b/>
          <w:bCs/>
          <w:sz w:val="32"/>
          <w:szCs w:val="32"/>
        </w:rPr>
      </w:pPr>
    </w:p>
    <w:p w14:paraId="11EAFA16">
      <w:pPr>
        <w:spacing w:line="360" w:lineRule="auto"/>
        <w:ind w:firstLine="640"/>
        <w:rPr>
          <w:rFonts w:hint="eastAsia" w:ascii="仿宋_GB2312" w:hAnsi="仿宋_GB2312" w:eastAsia="仿宋_GB2312" w:cs="仿宋_GB2312"/>
          <w:b/>
          <w:bCs/>
          <w:sz w:val="32"/>
          <w:szCs w:val="32"/>
        </w:rPr>
      </w:pPr>
    </w:p>
    <w:p w14:paraId="25A60548">
      <w:pPr>
        <w:spacing w:line="360" w:lineRule="auto"/>
        <w:ind w:firstLine="5120" w:firstLineChars="1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元氏县</w:t>
      </w:r>
      <w:r>
        <w:rPr>
          <w:rFonts w:hint="eastAsia" w:ascii="仿宋_GB2312" w:hAnsi="仿宋_GB2312" w:eastAsia="仿宋_GB2312" w:cs="仿宋_GB2312"/>
          <w:sz w:val="32"/>
          <w:szCs w:val="32"/>
          <w:lang w:eastAsia="zh-CN"/>
        </w:rPr>
        <w:t>农业农村局</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w:t>
      </w:r>
    </w:p>
    <w:p w14:paraId="51F72094">
      <w:pPr>
        <w:spacing w:line="360" w:lineRule="auto"/>
        <w:ind w:firstLine="5120" w:firstLineChars="16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w:t>
      </w:r>
    </w:p>
    <w:p w14:paraId="4E1EB0C8">
      <w:pPr>
        <w:spacing w:line="360" w:lineRule="auto"/>
        <w:ind w:firstLine="5760" w:firstLineChars="1800"/>
        <w:rPr>
          <w:rFonts w:hint="eastAsia" w:ascii="仿宋_GB2312" w:hAnsi="仿宋_GB2312" w:eastAsia="仿宋_GB2312" w:cs="仿宋_GB2312"/>
          <w:sz w:val="32"/>
          <w:szCs w:val="32"/>
        </w:rPr>
      </w:pPr>
    </w:p>
    <w:p w14:paraId="704DA2E2">
      <w:pPr>
        <w:spacing w:line="360" w:lineRule="auto"/>
        <w:ind w:firstLine="5760" w:firstLineChars="1800"/>
        <w:rPr>
          <w:rFonts w:hint="eastAsia" w:ascii="仿宋_GB2312" w:hAnsi="仿宋_GB2312" w:eastAsia="仿宋_GB2312" w:cs="仿宋_GB2312"/>
          <w:sz w:val="32"/>
          <w:szCs w:val="32"/>
        </w:rPr>
      </w:pPr>
    </w:p>
    <w:p w14:paraId="1EB24BEE">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元氏县202</w:t>
      </w:r>
      <w:r>
        <w:rPr>
          <w:rFonts w:hint="eastAsia" w:ascii="方正小标宋简体" w:hAnsi="方正小标宋简体" w:eastAsia="方正小标宋简体" w:cs="方正小标宋简体"/>
          <w:b w:val="0"/>
          <w:bCs w:val="0"/>
          <w:sz w:val="44"/>
          <w:szCs w:val="44"/>
          <w:lang w:val="en-US" w:eastAsia="zh-CN"/>
        </w:rPr>
        <w:t>6</w:t>
      </w:r>
      <w:r>
        <w:rPr>
          <w:rFonts w:hint="eastAsia" w:ascii="方正小标宋简体" w:hAnsi="方正小标宋简体" w:eastAsia="方正小标宋简体" w:cs="方正小标宋简体"/>
          <w:b w:val="0"/>
          <w:bCs w:val="0"/>
          <w:sz w:val="44"/>
          <w:szCs w:val="44"/>
        </w:rPr>
        <w:t>年耕地地力保护补贴</w:t>
      </w:r>
    </w:p>
    <w:p w14:paraId="030486B4">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工作实施方案</w:t>
      </w:r>
    </w:p>
    <w:p w14:paraId="4FAAA8EF">
      <w:pPr>
        <w:spacing w:line="360" w:lineRule="auto"/>
        <w:ind w:firstLine="640" w:firstLineChars="200"/>
        <w:rPr>
          <w:rFonts w:ascii="仿宋" w:hAnsi="仿宋" w:eastAsia="仿宋"/>
          <w:sz w:val="32"/>
          <w:szCs w:val="32"/>
        </w:rPr>
      </w:pPr>
    </w:p>
    <w:p w14:paraId="4F172645">
      <w:pPr>
        <w:spacing w:line="360" w:lineRule="auto"/>
        <w:ind w:firstLine="640" w:firstLineChars="200"/>
        <w:rPr>
          <w:rFonts w:ascii="仿宋" w:hAnsi="仿宋" w:eastAsia="仿宋"/>
          <w:sz w:val="32"/>
          <w:szCs w:val="32"/>
        </w:rPr>
      </w:pPr>
      <w:r>
        <w:rPr>
          <w:rFonts w:hint="eastAsia" w:ascii="仿宋" w:hAnsi="仿宋" w:eastAsia="仿宋"/>
          <w:sz w:val="32"/>
          <w:szCs w:val="32"/>
        </w:rPr>
        <w:t>按照</w:t>
      </w:r>
      <w:r>
        <w:rPr>
          <w:rFonts w:hint="eastAsia" w:ascii="仿宋_GB2312" w:hAnsi="仿宋_GB2312" w:eastAsia="仿宋_GB2312" w:cs="仿宋_GB2312"/>
          <w:sz w:val="32"/>
          <w:szCs w:val="32"/>
        </w:rPr>
        <w:t>《河北省财政厅关于提前下达202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中央耕地建设与利用</w:t>
      </w:r>
      <w:r>
        <w:rPr>
          <w:rFonts w:hint="eastAsia" w:ascii="仿宋_GB2312" w:hAnsi="仿宋_GB2312" w:eastAsia="仿宋_GB2312" w:cs="仿宋_GB2312"/>
          <w:sz w:val="32"/>
          <w:szCs w:val="32"/>
        </w:rPr>
        <w:t>资金的通知》（冀财农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08</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、《河北省财政厅</w:t>
      </w:r>
      <w:r>
        <w:rPr>
          <w:rFonts w:hint="eastAsia" w:ascii="仿宋_GB2312" w:hAnsi="仿宋_GB2312" w:eastAsia="仿宋_GB2312" w:cs="仿宋_GB2312"/>
          <w:sz w:val="32"/>
          <w:szCs w:val="32"/>
          <w:lang w:val="en-US" w:eastAsia="zh-CN"/>
        </w:rPr>
        <w:t xml:space="preserve"> 河北省农业农村厅关于印发</w:t>
      </w:r>
      <w:r>
        <w:rPr>
          <w:rFonts w:hint="eastAsia" w:ascii="微软雅黑" w:hAnsi="微软雅黑" w:eastAsia="微软雅黑" w:cs="微软雅黑"/>
          <w:sz w:val="32"/>
          <w:szCs w:val="32"/>
          <w:lang w:val="en-US" w:eastAsia="zh-CN"/>
        </w:rPr>
        <w:t>〈</w:t>
      </w:r>
      <w:r>
        <w:rPr>
          <w:rFonts w:hint="eastAsia" w:ascii="仿宋_GB2312" w:hAnsi="仿宋_GB2312" w:eastAsia="仿宋_GB2312" w:cs="仿宋_GB2312"/>
          <w:sz w:val="32"/>
          <w:szCs w:val="32"/>
          <w:lang w:val="en-US" w:eastAsia="zh-CN"/>
        </w:rPr>
        <w:t>河北省农业“三项补贴”改革工作实施方案</w:t>
      </w:r>
      <w:r>
        <w:rPr>
          <w:rFonts w:hint="eastAsia" w:ascii="微软雅黑" w:hAnsi="微软雅黑" w:eastAsia="微软雅黑" w:cs="微软雅黑"/>
          <w:sz w:val="32"/>
          <w:szCs w:val="32"/>
          <w:lang w:val="en-US" w:eastAsia="zh-CN"/>
        </w:rPr>
        <w:t>〉</w:t>
      </w:r>
      <w:r>
        <w:rPr>
          <w:rFonts w:hint="eastAsia" w:ascii="仿宋_GB2312" w:hAnsi="仿宋_GB2312" w:eastAsia="仿宋_GB2312" w:cs="仿宋_GB2312"/>
          <w:sz w:val="32"/>
          <w:szCs w:val="32"/>
          <w:lang w:val="en-US" w:eastAsia="zh-CN"/>
        </w:rPr>
        <w:t>的通知</w:t>
      </w:r>
      <w:r>
        <w:rPr>
          <w:rFonts w:hint="eastAsia" w:ascii="仿宋_GB2312" w:hAnsi="仿宋_GB2312" w:eastAsia="仿宋_GB2312" w:cs="仿宋_GB2312"/>
          <w:sz w:val="32"/>
          <w:szCs w:val="32"/>
          <w:lang w:eastAsia="zh-CN"/>
        </w:rPr>
        <w:t>》（冀财农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16]58</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）及河北省农业农村厅关于印发《</w:t>
      </w:r>
      <w:r>
        <w:rPr>
          <w:rFonts w:hint="eastAsia" w:ascii="仿宋_GB2312" w:hAnsi="仿宋_GB2312" w:eastAsia="仿宋_GB2312" w:cs="仿宋_GB2312"/>
          <w:sz w:val="32"/>
          <w:szCs w:val="32"/>
          <w:lang w:val="en-US" w:eastAsia="zh-CN"/>
        </w:rPr>
        <w:t>2026年中央和省级财政提前下达农业转移支付项目实施方案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的通知</w:t>
      </w:r>
      <w:r>
        <w:rPr>
          <w:rFonts w:hint="eastAsia" w:ascii="仿宋_GB2312" w:hAnsi="仿宋_GB2312" w:eastAsia="仿宋_GB2312" w:cs="仿宋_GB2312"/>
          <w:sz w:val="32"/>
          <w:szCs w:val="32"/>
          <w:lang w:eastAsia="zh-CN"/>
        </w:rPr>
        <w:t>（冀农财发</w:t>
      </w:r>
      <w:r>
        <w:rPr>
          <w:rFonts w:hint="eastAsia" w:ascii="仿宋_GB2312" w:hAnsi="仿宋_GB2312" w:eastAsia="仿宋_GB2312" w:cs="仿宋_GB2312"/>
          <w:sz w:val="32"/>
          <w:szCs w:val="32"/>
          <w:lang w:val="en-US" w:eastAsia="zh-CN"/>
        </w:rPr>
        <w:t>[2026]1号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要求</w:t>
      </w:r>
      <w:r>
        <w:rPr>
          <w:rFonts w:hint="eastAsia" w:ascii="仿宋_GB2312" w:hAnsi="仿宋_GB2312" w:eastAsia="仿宋_GB2312" w:cs="仿宋_GB2312"/>
          <w:sz w:val="32"/>
          <w:szCs w:val="32"/>
          <w:lang w:eastAsia="zh-CN"/>
        </w:rPr>
        <w:t>，</w:t>
      </w:r>
      <w:r>
        <w:rPr>
          <w:rFonts w:hint="eastAsia" w:ascii="仿宋" w:hAnsi="仿宋" w:eastAsia="仿宋"/>
          <w:sz w:val="32"/>
          <w:szCs w:val="32"/>
        </w:rPr>
        <w:t>结合我县实际，制订本实施方案。</w:t>
      </w:r>
    </w:p>
    <w:p w14:paraId="48FA669B">
      <w:pPr>
        <w:numPr>
          <w:ilvl w:val="0"/>
          <w:numId w:val="0"/>
        </w:numPr>
        <w:spacing w:line="360" w:lineRule="auto"/>
        <w:ind w:firstLine="640" w:firstLineChars="0"/>
        <w:rPr>
          <w:rFonts w:ascii="仿宋" w:hAnsi="仿宋" w:eastAsia="仿宋"/>
          <w:sz w:val="32"/>
          <w:szCs w:val="32"/>
        </w:rPr>
      </w:pPr>
      <w:r>
        <w:rPr>
          <w:rFonts w:hint="eastAsia" w:ascii="黑体" w:hAnsi="黑体" w:eastAsia="黑体" w:cs="黑体"/>
          <w:kern w:val="2"/>
          <w:sz w:val="32"/>
          <w:szCs w:val="32"/>
          <w:lang w:val="en-US" w:eastAsia="zh-CN" w:bidi="ar-SA"/>
        </w:rPr>
        <w:t>一、</w:t>
      </w:r>
      <w:r>
        <w:rPr>
          <w:rFonts w:hint="eastAsia" w:ascii="黑体" w:hAnsi="黑体" w:eastAsia="黑体" w:cs="黑体"/>
          <w:sz w:val="32"/>
          <w:szCs w:val="32"/>
          <w:lang w:eastAsia="zh-CN"/>
        </w:rPr>
        <w:t>明确补贴范围</w:t>
      </w:r>
    </w:p>
    <w:p w14:paraId="29B00AA9">
      <w:pPr>
        <w:spacing w:line="360" w:lineRule="auto"/>
        <w:ind w:firstLine="640"/>
        <w:rPr>
          <w:rFonts w:ascii="仿宋" w:hAnsi="仿宋" w:eastAsia="仿宋"/>
          <w:sz w:val="32"/>
          <w:szCs w:val="32"/>
        </w:rPr>
      </w:pPr>
      <w:r>
        <w:rPr>
          <w:rFonts w:hint="eastAsia" w:ascii="楷体_GB2312" w:hAnsi="楷体_GB2312" w:eastAsia="楷体_GB2312" w:cs="楷体_GB2312"/>
          <w:sz w:val="32"/>
          <w:szCs w:val="32"/>
          <w:lang w:eastAsia="zh-CN"/>
        </w:rPr>
        <w:t>（一）</w:t>
      </w:r>
      <w:r>
        <w:rPr>
          <w:rFonts w:hint="eastAsia" w:ascii="楷体_GB2312" w:hAnsi="楷体_GB2312" w:eastAsia="楷体_GB2312" w:cs="楷体_GB2312"/>
          <w:sz w:val="32"/>
          <w:szCs w:val="32"/>
        </w:rPr>
        <w:t>补贴资金</w:t>
      </w:r>
      <w:r>
        <w:rPr>
          <w:rFonts w:hint="eastAsia" w:ascii="楷体_GB2312" w:hAnsi="楷体_GB2312" w:eastAsia="楷体_GB2312" w:cs="楷体_GB2312"/>
          <w:sz w:val="32"/>
          <w:szCs w:val="32"/>
          <w:lang w:eastAsia="zh-CN"/>
        </w:rPr>
        <w:t>。</w:t>
      </w:r>
      <w:r>
        <w:rPr>
          <w:rFonts w:hint="eastAsia" w:ascii="仿宋" w:hAnsi="仿宋" w:eastAsia="仿宋"/>
          <w:sz w:val="32"/>
          <w:szCs w:val="32"/>
        </w:rPr>
        <w:t>省财政厅提前下达我县20</w:t>
      </w:r>
      <w:r>
        <w:rPr>
          <w:rFonts w:ascii="仿宋" w:hAnsi="仿宋" w:eastAsia="仿宋"/>
          <w:sz w:val="32"/>
          <w:szCs w:val="32"/>
        </w:rPr>
        <w:t>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eastAsia="zh-CN"/>
        </w:rPr>
        <w:t>耕地地力</w:t>
      </w:r>
      <w:r>
        <w:rPr>
          <w:rFonts w:hint="eastAsia" w:ascii="仿宋" w:hAnsi="仿宋" w:eastAsia="仿宋"/>
          <w:sz w:val="32"/>
          <w:szCs w:val="32"/>
        </w:rPr>
        <w:t>保护补贴资金</w:t>
      </w:r>
      <w:r>
        <w:rPr>
          <w:rFonts w:hint="eastAsia" w:ascii="仿宋" w:hAnsi="仿宋" w:eastAsia="仿宋"/>
          <w:sz w:val="32"/>
          <w:szCs w:val="32"/>
          <w:lang w:val="en-US" w:eastAsia="zh-CN"/>
        </w:rPr>
        <w:t>4166</w:t>
      </w:r>
      <w:r>
        <w:rPr>
          <w:rFonts w:hint="eastAsia" w:ascii="仿宋" w:hAnsi="仿宋" w:eastAsia="仿宋"/>
          <w:sz w:val="32"/>
          <w:szCs w:val="32"/>
        </w:rPr>
        <w:t>万元</w:t>
      </w:r>
      <w:r>
        <w:rPr>
          <w:rFonts w:hint="eastAsia" w:ascii="仿宋_GB2312" w:hAnsi="仿宋_GB2312" w:eastAsia="仿宋_GB2312" w:cs="仿宋_GB2312"/>
          <w:sz w:val="32"/>
          <w:szCs w:val="32"/>
        </w:rPr>
        <w:t>（冀财农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08</w:t>
      </w:r>
      <w:r>
        <w:rPr>
          <w:rFonts w:hint="eastAsia" w:ascii="仿宋_GB2312" w:hAnsi="仿宋_GB2312" w:eastAsia="仿宋_GB2312" w:cs="仿宋_GB2312"/>
          <w:sz w:val="32"/>
          <w:szCs w:val="32"/>
        </w:rPr>
        <w:t>号）</w:t>
      </w:r>
      <w:r>
        <w:rPr>
          <w:rFonts w:hint="eastAsia" w:ascii="仿宋" w:hAnsi="仿宋" w:eastAsia="仿宋"/>
          <w:sz w:val="32"/>
          <w:szCs w:val="32"/>
        </w:rPr>
        <w:t>，</w:t>
      </w:r>
      <w:r>
        <w:rPr>
          <w:rFonts w:hint="eastAsia" w:ascii="仿宋" w:hAnsi="仿宋" w:eastAsia="仿宋"/>
          <w:color w:val="auto"/>
          <w:sz w:val="32"/>
          <w:szCs w:val="32"/>
          <w:lang w:eastAsia="zh-CN"/>
        </w:rPr>
        <w:t>上年结转耕地地力保护补贴资金</w:t>
      </w:r>
      <w:r>
        <w:rPr>
          <w:rFonts w:hint="eastAsia" w:ascii="仿宋" w:hAnsi="仿宋" w:eastAsia="仿宋"/>
          <w:color w:val="auto"/>
          <w:sz w:val="32"/>
          <w:szCs w:val="32"/>
          <w:lang w:val="en-US" w:eastAsia="zh-CN"/>
        </w:rPr>
        <w:t>2.677247万元，</w:t>
      </w:r>
      <w:r>
        <w:rPr>
          <w:rFonts w:hint="eastAsia" w:ascii="仿宋" w:hAnsi="仿宋" w:eastAsia="仿宋"/>
          <w:color w:val="auto"/>
          <w:sz w:val="32"/>
          <w:szCs w:val="32"/>
        </w:rPr>
        <w:t>共计</w:t>
      </w:r>
      <w:r>
        <w:rPr>
          <w:rFonts w:hint="eastAsia" w:ascii="仿宋" w:hAnsi="仿宋" w:eastAsia="仿宋"/>
          <w:color w:val="auto"/>
          <w:sz w:val="32"/>
          <w:szCs w:val="32"/>
          <w:lang w:val="en-US" w:eastAsia="zh-CN"/>
        </w:rPr>
        <w:t>4168.677247万</w:t>
      </w:r>
      <w:r>
        <w:rPr>
          <w:rFonts w:hint="eastAsia" w:ascii="仿宋" w:hAnsi="仿宋" w:eastAsia="仿宋"/>
          <w:color w:val="auto"/>
          <w:sz w:val="32"/>
          <w:szCs w:val="32"/>
        </w:rPr>
        <w:t>元</w:t>
      </w:r>
      <w:r>
        <w:rPr>
          <w:rFonts w:hint="eastAsia" w:ascii="仿宋" w:hAnsi="仿宋" w:eastAsia="仿宋"/>
          <w:sz w:val="32"/>
          <w:szCs w:val="32"/>
        </w:rPr>
        <w:t>。当年未使用完的农业支持保护补贴资金以及上年结转资金，可在下年继续统筹安排用于农业支持保护补贴相关工作。</w:t>
      </w:r>
    </w:p>
    <w:p w14:paraId="03087878">
      <w:pPr>
        <w:numPr>
          <w:ilvl w:val="0"/>
          <w:numId w:val="0"/>
        </w:numPr>
        <w:spacing w:line="360" w:lineRule="auto"/>
        <w:ind w:firstLine="640" w:firstLineChars="0"/>
        <w:rPr>
          <w:rFonts w:ascii="仿宋" w:hAnsi="仿宋" w:eastAsia="仿宋"/>
          <w:sz w:val="32"/>
          <w:szCs w:val="32"/>
        </w:rPr>
      </w:pPr>
      <w:r>
        <w:rPr>
          <w:rFonts w:hint="eastAsia" w:ascii="楷体_GB2312" w:hAnsi="楷体_GB2312" w:eastAsia="楷体_GB2312" w:cs="楷体_GB2312"/>
          <w:kern w:val="2"/>
          <w:sz w:val="32"/>
          <w:szCs w:val="32"/>
          <w:lang w:val="en-US" w:eastAsia="zh-CN" w:bidi="ar-SA"/>
        </w:rPr>
        <w:t>（二）</w:t>
      </w:r>
      <w:r>
        <w:rPr>
          <w:rFonts w:hint="eastAsia" w:ascii="楷体_GB2312" w:hAnsi="楷体_GB2312" w:eastAsia="楷体_GB2312" w:cs="楷体_GB2312"/>
          <w:sz w:val="32"/>
          <w:szCs w:val="32"/>
        </w:rPr>
        <w:t>补贴对象</w:t>
      </w:r>
      <w:r>
        <w:rPr>
          <w:rFonts w:hint="eastAsia" w:ascii="楷体_GB2312" w:hAnsi="楷体_GB2312" w:eastAsia="楷体_GB2312" w:cs="楷体_GB2312"/>
          <w:sz w:val="32"/>
          <w:szCs w:val="32"/>
          <w:lang w:eastAsia="zh-CN"/>
        </w:rPr>
        <w:t>。</w:t>
      </w:r>
      <w:r>
        <w:rPr>
          <w:rFonts w:hint="eastAsia" w:ascii="仿宋" w:hAnsi="仿宋" w:eastAsia="仿宋"/>
          <w:sz w:val="32"/>
          <w:szCs w:val="32"/>
        </w:rPr>
        <w:t>补贴对象原则上为拥有耕地承包权的种地农民。农户承包集体机动地和农户承包地转租的，原则上对承租（包）者进行补贴。原承租（包）合同有约定的，尊重农民意愿，按承租（包）合同的约定补贴。</w:t>
      </w:r>
      <w:r>
        <w:rPr>
          <w:rFonts w:hint="eastAsia" w:ascii="仿宋" w:hAnsi="仿宋" w:eastAsia="仿宋"/>
          <w:sz w:val="32"/>
          <w:szCs w:val="32"/>
          <w:lang w:eastAsia="zh-CN"/>
        </w:rPr>
        <w:t>除国有农场或村镇集体经济等特殊情况外，耕地地力保护补贴对象必须是农户个人，严禁由村集体代领。</w:t>
      </w:r>
      <w:r>
        <w:rPr>
          <w:rFonts w:hint="eastAsia" w:ascii="仿宋" w:hAnsi="仿宋" w:eastAsia="仿宋"/>
          <w:sz w:val="32"/>
          <w:szCs w:val="32"/>
        </w:rPr>
        <w:t>享受补贴的农民要做到耕地不撂荒，地力不降低。</w:t>
      </w:r>
    </w:p>
    <w:p w14:paraId="7764A954">
      <w:pPr>
        <w:numPr>
          <w:ilvl w:val="0"/>
          <w:numId w:val="0"/>
        </w:numPr>
        <w:spacing w:line="360" w:lineRule="auto"/>
        <w:ind w:firstLine="640" w:firstLineChars="0"/>
        <w:rPr>
          <w:rFonts w:hint="eastAsia" w:ascii="仿宋" w:hAnsi="仿宋" w:eastAsia="仿宋"/>
          <w:sz w:val="32"/>
          <w:szCs w:val="32"/>
          <w:lang w:eastAsia="zh-CN"/>
        </w:rPr>
      </w:pPr>
      <w:r>
        <w:rPr>
          <w:rFonts w:hint="eastAsia" w:ascii="楷体_GB2312" w:hAnsi="楷体_GB2312" w:eastAsia="楷体_GB2312" w:cs="楷体_GB2312"/>
          <w:kern w:val="2"/>
          <w:sz w:val="32"/>
          <w:szCs w:val="32"/>
          <w:lang w:val="en-US" w:eastAsia="zh-CN" w:bidi="ar-SA"/>
        </w:rPr>
        <w:t>（三）</w:t>
      </w:r>
      <w:r>
        <w:rPr>
          <w:rFonts w:hint="eastAsia" w:ascii="楷体_GB2312" w:hAnsi="楷体_GB2312" w:eastAsia="楷体_GB2312" w:cs="楷体_GB2312"/>
          <w:sz w:val="32"/>
          <w:szCs w:val="32"/>
        </w:rPr>
        <w:t>补贴依据</w:t>
      </w:r>
      <w:r>
        <w:rPr>
          <w:rFonts w:hint="eastAsia" w:ascii="楷体_GB2312" w:hAnsi="楷体_GB2312" w:eastAsia="楷体_GB2312" w:cs="楷体_GB2312"/>
          <w:sz w:val="32"/>
          <w:szCs w:val="32"/>
          <w:lang w:eastAsia="zh-CN"/>
        </w:rPr>
        <w:t>。</w:t>
      </w:r>
      <w:r>
        <w:rPr>
          <w:rFonts w:hint="eastAsia" w:ascii="仿宋" w:hAnsi="仿宋" w:eastAsia="仿宋"/>
          <w:sz w:val="32"/>
          <w:szCs w:val="32"/>
          <w:lang w:eastAsia="zh-CN"/>
        </w:rPr>
        <w:t>根据</w:t>
      </w:r>
      <w:r>
        <w:rPr>
          <w:rFonts w:hint="eastAsia" w:ascii="仿宋" w:hAnsi="仿宋" w:eastAsia="仿宋"/>
          <w:sz w:val="32"/>
          <w:szCs w:val="32"/>
        </w:rPr>
        <w:t>农村税费改革时核定的农业税计税土地面积扣除其中的按规定转为非耕地的土地面积、退耕还林土地面积，再加上新增耕地的实际种植面积</w:t>
      </w:r>
      <w:r>
        <w:rPr>
          <w:rFonts w:hint="eastAsia" w:ascii="仿宋" w:hAnsi="仿宋" w:eastAsia="仿宋"/>
          <w:sz w:val="32"/>
          <w:szCs w:val="32"/>
          <w:lang w:eastAsia="zh-CN"/>
        </w:rPr>
        <w:t>确定。对</w:t>
      </w:r>
      <w:r>
        <w:rPr>
          <w:rFonts w:hint="eastAsia" w:ascii="仿宋" w:hAnsi="仿宋" w:eastAsia="仿宋"/>
          <w:sz w:val="32"/>
          <w:szCs w:val="32"/>
        </w:rPr>
        <w:t>已作为畜牧养殖场使用的耕地、林地、</w:t>
      </w:r>
      <w:r>
        <w:rPr>
          <w:rFonts w:hint="eastAsia" w:ascii="仿宋" w:hAnsi="仿宋" w:eastAsia="仿宋"/>
          <w:sz w:val="32"/>
          <w:szCs w:val="32"/>
          <w:lang w:eastAsia="zh-CN"/>
        </w:rPr>
        <w:t>成片良田</w:t>
      </w:r>
      <w:r>
        <w:rPr>
          <w:rFonts w:hint="eastAsia" w:ascii="仿宋" w:hAnsi="仿宋" w:eastAsia="仿宋"/>
          <w:sz w:val="32"/>
          <w:szCs w:val="32"/>
        </w:rPr>
        <w:t>转为设施农业用地、非农业征（占）用耕地等已改变用途的耕地，以及占补平衡中“补”的面积和质量达不到耕种条件的耕地</w:t>
      </w:r>
      <w:r>
        <w:rPr>
          <w:rFonts w:hint="eastAsia" w:ascii="仿宋" w:hAnsi="仿宋" w:eastAsia="仿宋"/>
          <w:sz w:val="32"/>
          <w:szCs w:val="32"/>
          <w:lang w:eastAsia="zh-CN"/>
        </w:rPr>
        <w:t>不予补贴，对撂荒一年以上的，取消补贴资格。</w:t>
      </w:r>
    </w:p>
    <w:p w14:paraId="7F342C08">
      <w:pPr>
        <w:numPr>
          <w:ilvl w:val="0"/>
          <w:numId w:val="0"/>
        </w:numPr>
        <w:spacing w:line="360" w:lineRule="auto"/>
        <w:ind w:firstLine="640" w:firstLineChars="0"/>
        <w:rPr>
          <w:rFonts w:hint="eastAsia" w:ascii="仿宋" w:hAnsi="仿宋" w:eastAsia="仿宋"/>
          <w:sz w:val="32"/>
          <w:szCs w:val="32"/>
          <w:lang w:val="en-US" w:eastAsia="zh-CN"/>
        </w:rPr>
      </w:pPr>
      <w:r>
        <w:rPr>
          <w:rFonts w:hint="eastAsia" w:ascii="楷体_GB2312" w:hAnsi="楷体_GB2312" w:eastAsia="楷体_GB2312" w:cs="楷体_GB2312"/>
          <w:kern w:val="2"/>
          <w:sz w:val="32"/>
          <w:szCs w:val="32"/>
          <w:lang w:val="en-US" w:eastAsia="zh-CN" w:bidi="ar-SA"/>
        </w:rPr>
        <w:t>（四）</w:t>
      </w:r>
      <w:r>
        <w:rPr>
          <w:rFonts w:hint="eastAsia" w:ascii="楷体_GB2312" w:hAnsi="楷体_GB2312" w:eastAsia="楷体_GB2312" w:cs="楷体_GB2312"/>
          <w:sz w:val="32"/>
          <w:szCs w:val="32"/>
        </w:rPr>
        <w:t>补贴标准</w:t>
      </w:r>
      <w:r>
        <w:rPr>
          <w:rFonts w:hint="eastAsia" w:ascii="楷体_GB2312" w:hAnsi="楷体_GB2312" w:eastAsia="楷体_GB2312" w:cs="楷体_GB2312"/>
          <w:sz w:val="32"/>
          <w:szCs w:val="32"/>
          <w:lang w:eastAsia="zh-CN"/>
        </w:rPr>
        <w:t>。</w:t>
      </w:r>
      <w:r>
        <w:rPr>
          <w:rFonts w:hint="eastAsia" w:ascii="仿宋" w:hAnsi="仿宋" w:eastAsia="仿宋"/>
          <w:sz w:val="32"/>
          <w:szCs w:val="32"/>
        </w:rPr>
        <w:t>根据补贴资金总量和农业农村部门</w:t>
      </w:r>
      <w:r>
        <w:rPr>
          <w:rFonts w:hint="eastAsia" w:ascii="仿宋" w:hAnsi="仿宋" w:eastAsia="仿宋"/>
          <w:sz w:val="32"/>
          <w:szCs w:val="32"/>
          <w:lang w:eastAsia="zh-CN"/>
        </w:rPr>
        <w:t>汇总</w:t>
      </w:r>
      <w:r>
        <w:rPr>
          <w:rFonts w:hint="eastAsia" w:ascii="仿宋" w:hAnsi="仿宋" w:eastAsia="仿宋"/>
          <w:sz w:val="32"/>
          <w:szCs w:val="32"/>
        </w:rPr>
        <w:t>后的补贴面积综合测算确定。</w:t>
      </w:r>
      <w:r>
        <w:rPr>
          <w:rFonts w:hint="eastAsia" w:ascii="仿宋" w:hAnsi="仿宋" w:eastAsia="仿宋"/>
          <w:sz w:val="32"/>
          <w:szCs w:val="32"/>
          <w:lang w:eastAsia="zh-CN"/>
        </w:rPr>
        <w:t>国有农场执行统一的单位面积补贴标准。</w:t>
      </w:r>
    </w:p>
    <w:p w14:paraId="7142FA5A">
      <w:pPr>
        <w:spacing w:line="360" w:lineRule="auto"/>
        <w:ind w:firstLine="640"/>
        <w:rPr>
          <w:rFonts w:hint="eastAsia" w:ascii="仿宋" w:hAnsi="仿宋" w:eastAsia="仿宋"/>
          <w:sz w:val="32"/>
          <w:szCs w:val="32"/>
          <w:lang w:eastAsia="zh-CN"/>
        </w:rPr>
      </w:pPr>
      <w:r>
        <w:rPr>
          <w:rFonts w:hint="eastAsia" w:ascii="黑体" w:hAnsi="黑体" w:eastAsia="黑体" w:cs="黑体"/>
          <w:sz w:val="32"/>
          <w:szCs w:val="32"/>
          <w:lang w:eastAsia="zh-CN"/>
        </w:rPr>
        <w:t>二、规范补贴发放管理</w:t>
      </w:r>
    </w:p>
    <w:p w14:paraId="3ED20357">
      <w:pPr>
        <w:spacing w:line="360" w:lineRule="auto"/>
        <w:ind w:firstLine="640"/>
        <w:rPr>
          <w:rFonts w:hint="eastAsia" w:ascii="仿宋_GB2312" w:hAnsi="仿宋_GB2312" w:eastAsia="仿宋_GB2312" w:cs="仿宋_GB2312"/>
          <w:sz w:val="32"/>
          <w:szCs w:val="32"/>
          <w:lang w:eastAsia="zh-CN"/>
        </w:rPr>
      </w:pPr>
      <w:r>
        <w:rPr>
          <w:rFonts w:hint="eastAsia" w:ascii="楷体_GB2312" w:hAnsi="楷体_GB2312" w:eastAsia="楷体_GB2312" w:cs="楷体_GB2312"/>
          <w:sz w:val="32"/>
          <w:szCs w:val="32"/>
          <w:lang w:eastAsia="zh-CN"/>
        </w:rPr>
        <w:t>（一）制定补贴实施方案。</w:t>
      </w:r>
      <w:r>
        <w:rPr>
          <w:rFonts w:hint="eastAsia" w:ascii="仿宋_GB2312" w:hAnsi="仿宋_GB2312" w:eastAsia="仿宋_GB2312" w:cs="仿宋_GB2312"/>
          <w:sz w:val="32"/>
          <w:szCs w:val="32"/>
          <w:lang w:eastAsia="zh-CN"/>
        </w:rPr>
        <w:t>农业农村部门会同财政部门制定本县域年度耕地地力保护、补贴发放实施方案，明确各部门责任、面积核实和补贴对象认定依据、公开公示要求，细化发放流程。</w:t>
      </w:r>
    </w:p>
    <w:p w14:paraId="39F386CE">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（二）核实补贴对象和面积。</w:t>
      </w:r>
      <w:r>
        <w:rPr>
          <w:rFonts w:hint="eastAsia" w:ascii="仿宋" w:hAnsi="仿宋" w:eastAsia="仿宋"/>
          <w:sz w:val="32"/>
          <w:szCs w:val="32"/>
          <w:lang w:eastAsia="zh-CN"/>
        </w:rPr>
        <w:t>各村（组）认真做好本村内耕地地力保护补贴面积和农户基础信息的统计、核实、汇总工作，经农户签字确认后报乡（镇）政府审核。乡（镇）政府对各村摸底上报的补贴面积等基础数据进行审核，加盖乡（镇）、村公章后以村为单位在各村信息公开栏进行公示，公示期7天。公示内容包括补贴对象姓名、所在乡（镇）、村、补贴面积等基础信息。对个人隐私信息（身份证号、银行卡号等）要进行部分屏蔽处理，做好个人隐私信息保护。</w:t>
      </w:r>
    </w:p>
    <w:p w14:paraId="386EE846">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（三）县级审核。</w:t>
      </w:r>
      <w:r>
        <w:rPr>
          <w:rFonts w:hint="eastAsia" w:ascii="仿宋" w:hAnsi="仿宋" w:eastAsia="仿宋"/>
          <w:sz w:val="32"/>
          <w:szCs w:val="32"/>
          <w:lang w:eastAsia="zh-CN"/>
        </w:rPr>
        <w:t>公示期结束后，乡（镇）政府将补贴面积汇总表报县农业农村局，</w:t>
      </w:r>
      <w:r>
        <w:rPr>
          <w:rFonts w:hint="eastAsia" w:ascii="仿宋" w:hAnsi="仿宋" w:eastAsia="仿宋"/>
          <w:sz w:val="32"/>
          <w:szCs w:val="32"/>
        </w:rPr>
        <w:t>乡镇政府对申报的补贴面积真实性负责。上报的补贴面积由各乡</w:t>
      </w:r>
      <w:r>
        <w:rPr>
          <w:rFonts w:hint="eastAsia" w:ascii="仿宋" w:hAnsi="仿宋" w:eastAsia="仿宋"/>
          <w:sz w:val="32"/>
          <w:szCs w:val="32"/>
          <w:lang w:eastAsia="zh-CN"/>
        </w:rPr>
        <w:t>（</w:t>
      </w:r>
      <w:r>
        <w:rPr>
          <w:rFonts w:hint="eastAsia" w:ascii="仿宋" w:hAnsi="仿宋" w:eastAsia="仿宋"/>
          <w:sz w:val="32"/>
          <w:szCs w:val="32"/>
        </w:rPr>
        <w:t>镇</w:t>
      </w:r>
      <w:r>
        <w:rPr>
          <w:rFonts w:hint="eastAsia" w:ascii="仿宋" w:hAnsi="仿宋" w:eastAsia="仿宋"/>
          <w:sz w:val="32"/>
          <w:szCs w:val="32"/>
          <w:lang w:eastAsia="zh-CN"/>
        </w:rPr>
        <w:t>）</w:t>
      </w:r>
      <w:r>
        <w:rPr>
          <w:rFonts w:hint="eastAsia" w:ascii="仿宋" w:hAnsi="仿宋" w:eastAsia="仿宋"/>
          <w:sz w:val="32"/>
          <w:szCs w:val="32"/>
        </w:rPr>
        <w:t>一把手签字并加盖公章</w:t>
      </w:r>
      <w:r>
        <w:rPr>
          <w:rFonts w:hint="eastAsia" w:ascii="仿宋" w:hAnsi="仿宋" w:eastAsia="仿宋"/>
          <w:sz w:val="32"/>
          <w:szCs w:val="32"/>
          <w:lang w:eastAsia="zh-CN"/>
        </w:rPr>
        <w:t>。面积对比去年有变化的乡镇需提供相关证明材料。县级农业农村部门对各乡镇上报的补贴面积进行比对审核。审核结束后，根据汇总后的补贴面积以及补贴资金总额，计算本县补贴标准，确定分户补贴金额，加盖乡（镇）、村公章后以村为单位在村信息公开栏进行第二轮公示，公示期7天。</w:t>
      </w:r>
    </w:p>
    <w:p w14:paraId="326BC1D5">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（四）补贴资金发放。</w:t>
      </w:r>
      <w:r>
        <w:rPr>
          <w:rFonts w:hint="eastAsia" w:ascii="仿宋" w:hAnsi="仿宋" w:eastAsia="仿宋"/>
          <w:sz w:val="32"/>
          <w:szCs w:val="32"/>
          <w:lang w:eastAsia="zh-CN"/>
        </w:rPr>
        <w:t>第二轮公示期满后，县级农业农村部门按照国库集中支付方式，在规定时间内将补贴资金发放至受益农户账户。要加强补贴资金发放的跟踪管理，与代发金融机构建立数据双向及时传递制度，对于因账户或身份信息错误等导致补贴资金发放不到位的，及时组织乡（镇）、村委会对农户信息进行核实，确保补贴资金全部兑付到农户手中，确实无法发放的应及时退回。严禁超出规定范围选择村镇银行等作为代发金融机构或由乡（镇）代发补贴资金。</w:t>
      </w:r>
    </w:p>
    <w:p w14:paraId="3C4587EF">
      <w:pPr>
        <w:spacing w:line="360" w:lineRule="auto"/>
        <w:ind w:firstLine="640"/>
        <w:rPr>
          <w:rFonts w:hint="eastAsia" w:ascii="仿宋" w:hAnsi="仿宋" w:eastAsia="仿宋"/>
          <w:sz w:val="32"/>
          <w:szCs w:val="32"/>
        </w:rPr>
      </w:pPr>
      <w:r>
        <w:rPr>
          <w:rFonts w:hint="eastAsia" w:ascii="黑体" w:hAnsi="黑体" w:eastAsia="黑体" w:cs="黑体"/>
          <w:sz w:val="32"/>
          <w:szCs w:val="32"/>
          <w:lang w:eastAsia="zh-CN"/>
        </w:rPr>
        <w:t>三、工作要求</w:t>
      </w:r>
    </w:p>
    <w:p w14:paraId="1334BFD1">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（一）强化组织领导。</w:t>
      </w:r>
      <w:r>
        <w:rPr>
          <w:rFonts w:hint="eastAsia" w:ascii="仿宋" w:hAnsi="仿宋" w:eastAsia="仿宋"/>
          <w:sz w:val="32"/>
          <w:szCs w:val="32"/>
          <w:lang w:eastAsia="zh-CN"/>
        </w:rPr>
        <w:t>农业农村局要加强与财政局的沟通协调，明确责任分工，抓好工作落实，确保耕地地力保护补贴政策落到实处。要建立与自然资源部门的沟通机制，及时掌握年度“占补平衡”新增耕地情况。各乡镇要从严掌握补贴政策范围，避免应发未发和超范围发放。</w:t>
      </w:r>
    </w:p>
    <w:p w14:paraId="7B2E1EF0">
      <w:pPr>
        <w:spacing w:line="360" w:lineRule="auto"/>
        <w:ind w:firstLine="640"/>
        <w:rPr>
          <w:rFonts w:hint="default" w:ascii="仿宋" w:hAnsi="仿宋" w:eastAsia="仿宋"/>
          <w:sz w:val="32"/>
          <w:szCs w:val="32"/>
          <w:lang w:val="en-US" w:eastAsia="zh-CN"/>
        </w:rPr>
      </w:pPr>
      <w:r>
        <w:rPr>
          <w:rFonts w:hint="eastAsia" w:ascii="楷体_GB2312" w:hAnsi="楷体_GB2312" w:eastAsia="楷体_GB2312" w:cs="楷体_GB2312"/>
          <w:sz w:val="32"/>
          <w:szCs w:val="32"/>
          <w:lang w:eastAsia="zh-CN"/>
        </w:rPr>
        <w:t>（二）加强补贴监管。</w:t>
      </w:r>
      <w:r>
        <w:rPr>
          <w:rFonts w:hint="eastAsia" w:ascii="仿宋" w:hAnsi="仿宋" w:eastAsia="仿宋"/>
          <w:sz w:val="32"/>
          <w:szCs w:val="32"/>
          <w:lang w:eastAsia="zh-CN"/>
        </w:rPr>
        <w:t>以前年度结转资金要与当年预算资金统筹安排使用，严禁擅自统筹使用、虚报冒领、截留挪用补贴资金和以现金形式发放补贴。对骗取、贪污、挤占、挪用或违规发放等违法违规行为，依法依规报相关部门严肃处理。对种植不符合耕地种植用途管控要求作物的，依法依规取消年度补贴资格。</w:t>
      </w:r>
    </w:p>
    <w:p w14:paraId="549D06D2">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（三）强化政策解读。</w:t>
      </w:r>
      <w:r>
        <w:rPr>
          <w:rFonts w:hint="eastAsia" w:ascii="仿宋" w:hAnsi="仿宋" w:eastAsia="仿宋"/>
          <w:sz w:val="32"/>
          <w:szCs w:val="32"/>
          <w:lang w:eastAsia="zh-CN"/>
        </w:rPr>
        <w:t>各乡镇要强化耕地地力保护补贴的政策解读，通过电视、网络、公示栏、明白纸等多种渠道，广泛宣传，解答群众疑问，有效调动农民群众保护耕地的自觉性和积极性。</w:t>
      </w:r>
    </w:p>
    <w:p w14:paraId="0610838E">
      <w:pPr>
        <w:spacing w:line="360" w:lineRule="auto"/>
        <w:ind w:firstLine="640"/>
        <w:rPr>
          <w:rFonts w:hint="eastAsia" w:ascii="仿宋" w:hAnsi="仿宋" w:eastAsia="仿宋"/>
          <w:sz w:val="32"/>
          <w:szCs w:val="32"/>
          <w:lang w:eastAsia="zh-CN"/>
        </w:rPr>
      </w:pPr>
      <w:r>
        <w:rPr>
          <w:rFonts w:hint="eastAsia" w:ascii="楷体_GB2312" w:hAnsi="楷体_GB2312" w:eastAsia="楷体_GB2312" w:cs="楷体_GB2312"/>
          <w:sz w:val="32"/>
          <w:szCs w:val="32"/>
          <w:lang w:eastAsia="zh-CN"/>
        </w:rPr>
        <w:t>（四）完善信息台账。</w:t>
      </w:r>
      <w:r>
        <w:rPr>
          <w:rFonts w:hint="eastAsia" w:ascii="仿宋" w:hAnsi="仿宋" w:eastAsia="仿宋"/>
          <w:sz w:val="32"/>
          <w:szCs w:val="32"/>
          <w:lang w:eastAsia="zh-CN"/>
        </w:rPr>
        <w:t>各乡镇要逐级建立耕地地力保护补贴基础信息台账，实施动态管理。建立数据上报和共享机制，及时将补贴信息等上传财政部门“一卡通”系统。务必于202</w:t>
      </w:r>
      <w:r>
        <w:rPr>
          <w:rFonts w:hint="eastAsia" w:ascii="仿宋" w:hAnsi="仿宋" w:eastAsia="仿宋"/>
          <w:sz w:val="32"/>
          <w:szCs w:val="32"/>
          <w:lang w:val="en-US" w:eastAsia="zh-CN"/>
        </w:rPr>
        <w:t>6</w:t>
      </w:r>
      <w:r>
        <w:rPr>
          <w:rFonts w:hint="eastAsia" w:ascii="仿宋" w:hAnsi="仿宋" w:eastAsia="仿宋"/>
          <w:sz w:val="32"/>
          <w:szCs w:val="32"/>
          <w:lang w:eastAsia="zh-CN"/>
        </w:rPr>
        <w:t>年6月30日前将补贴资金发放到位。</w:t>
      </w:r>
    </w:p>
    <w:p w14:paraId="14F88965">
      <w:pPr>
        <w:spacing w:line="360" w:lineRule="auto"/>
        <w:ind w:firstLine="640" w:firstLineChars="200"/>
        <w:rPr>
          <w:rFonts w:hint="default" w:ascii="仿宋" w:hAnsi="仿宋" w:eastAsia="仿宋"/>
          <w:sz w:val="32"/>
          <w:szCs w:val="32"/>
          <w:lang w:val="en-US" w:eastAsia="zh-CN"/>
        </w:rPr>
      </w:pPr>
      <w:r>
        <w:rPr>
          <w:rFonts w:hint="eastAsia" w:ascii="仿宋" w:hAnsi="仿宋" w:eastAsia="仿宋"/>
          <w:sz w:val="32"/>
          <w:szCs w:val="32"/>
          <w:lang w:eastAsia="zh-CN"/>
        </w:rPr>
        <w:t>联系人：李翔 0311-8</w:t>
      </w:r>
      <w:r>
        <w:rPr>
          <w:rFonts w:hint="eastAsia" w:ascii="仿宋" w:hAnsi="仿宋" w:eastAsia="仿宋"/>
          <w:sz w:val="32"/>
          <w:szCs w:val="32"/>
          <w:lang w:val="en-US" w:eastAsia="zh-CN"/>
        </w:rPr>
        <w:t>4608306</w:t>
      </w:r>
    </w:p>
    <w:p w14:paraId="607D7BB2">
      <w:pPr>
        <w:spacing w:line="360" w:lineRule="auto"/>
        <w:ind w:firstLine="640"/>
      </w:pPr>
      <w:r>
        <w:rPr>
          <w:rFonts w:hint="eastAsia" w:ascii="仿宋" w:hAnsi="仿宋" w:eastAsia="仿宋"/>
          <w:sz w:val="32"/>
          <w:szCs w:val="32"/>
          <w:lang w:eastAsia="zh-CN"/>
        </w:rPr>
        <w:t xml:space="preserve">邮 </w:t>
      </w:r>
      <w:r>
        <w:rPr>
          <w:rFonts w:hint="eastAsia" w:ascii="仿宋" w:hAnsi="仿宋" w:eastAsia="仿宋"/>
          <w:sz w:val="32"/>
          <w:szCs w:val="32"/>
          <w:lang w:val="en-US" w:eastAsia="zh-CN"/>
        </w:rPr>
        <w:t xml:space="preserve"> </w:t>
      </w:r>
      <w:r>
        <w:rPr>
          <w:rFonts w:hint="eastAsia" w:ascii="仿宋" w:hAnsi="仿宋" w:eastAsia="仿宋"/>
          <w:sz w:val="32"/>
          <w:szCs w:val="32"/>
          <w:lang w:eastAsia="zh-CN"/>
        </w:rPr>
        <w:t>箱：</w:t>
      </w:r>
      <w:r>
        <w:rPr>
          <w:rFonts w:hint="eastAsia" w:ascii="仿宋" w:hAnsi="仿宋" w:eastAsia="仿宋"/>
          <w:sz w:val="32"/>
          <w:szCs w:val="32"/>
          <w:lang w:val="en-US" w:eastAsia="zh-CN"/>
        </w:rPr>
        <w:t>ntjsglg2022</w:t>
      </w:r>
      <w:r>
        <w:rPr>
          <w:rFonts w:hint="eastAsia" w:ascii="仿宋" w:hAnsi="仿宋" w:eastAsia="仿宋"/>
          <w:sz w:val="32"/>
          <w:szCs w:val="32"/>
          <w:lang w:eastAsia="zh-CN"/>
        </w:rPr>
        <w:t>@1</w:t>
      </w:r>
      <w:r>
        <w:rPr>
          <w:rFonts w:hint="eastAsia" w:ascii="仿宋" w:hAnsi="仿宋" w:eastAsia="仿宋"/>
          <w:sz w:val="32"/>
          <w:szCs w:val="32"/>
          <w:lang w:val="en-US" w:eastAsia="zh-CN"/>
        </w:rPr>
        <w:t>63</w:t>
      </w:r>
      <w:r>
        <w:rPr>
          <w:rFonts w:hint="eastAsia" w:ascii="仿宋" w:hAnsi="仿宋" w:eastAsia="仿宋"/>
          <w:sz w:val="32"/>
          <w:szCs w:val="32"/>
          <w:lang w:eastAsia="zh-CN"/>
        </w:rPr>
        <w:t>.com</w:t>
      </w:r>
    </w:p>
    <w:sectPr>
      <w:headerReference r:id="rId5" w:type="first"/>
      <w:footerReference r:id="rId8" w:type="first"/>
      <w:headerReference r:id="rId3" w:type="default"/>
      <w:footerReference r:id="rId6" w:type="default"/>
      <w:headerReference r:id="rId4" w:type="even"/>
      <w:footerReference r:id="rId7" w:type="even"/>
      <w:pgSz w:w="11850" w:h="16783"/>
      <w:pgMar w:top="2098" w:right="1531" w:bottom="153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CBF24">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76101">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C9348">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67E77C">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9290F">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6384D">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18"/>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AwMDM2NzljNGNmNTYxZWQ3NjhmNjhlYjQ5N2U4ODEifQ=="/>
  </w:docVars>
  <w:rsids>
    <w:rsidRoot w:val="60011786"/>
    <w:rsid w:val="001C01C3"/>
    <w:rsid w:val="001E45EF"/>
    <w:rsid w:val="00231A4A"/>
    <w:rsid w:val="002A3791"/>
    <w:rsid w:val="002E34DB"/>
    <w:rsid w:val="002E3636"/>
    <w:rsid w:val="00301521"/>
    <w:rsid w:val="00356FD3"/>
    <w:rsid w:val="003932A1"/>
    <w:rsid w:val="003A4EE2"/>
    <w:rsid w:val="0041302C"/>
    <w:rsid w:val="00424A33"/>
    <w:rsid w:val="004E1783"/>
    <w:rsid w:val="0055273A"/>
    <w:rsid w:val="005C5384"/>
    <w:rsid w:val="00606C30"/>
    <w:rsid w:val="00651BD8"/>
    <w:rsid w:val="00666DFD"/>
    <w:rsid w:val="007C7ACE"/>
    <w:rsid w:val="00835E39"/>
    <w:rsid w:val="00860742"/>
    <w:rsid w:val="008813E8"/>
    <w:rsid w:val="008F5B76"/>
    <w:rsid w:val="00936C02"/>
    <w:rsid w:val="00950456"/>
    <w:rsid w:val="00966359"/>
    <w:rsid w:val="0098106B"/>
    <w:rsid w:val="00990415"/>
    <w:rsid w:val="009D3EB0"/>
    <w:rsid w:val="00A736C2"/>
    <w:rsid w:val="00A96F32"/>
    <w:rsid w:val="00AA3450"/>
    <w:rsid w:val="00AF32F7"/>
    <w:rsid w:val="00B047EC"/>
    <w:rsid w:val="00DA5DA9"/>
    <w:rsid w:val="00DE62EE"/>
    <w:rsid w:val="00E013C0"/>
    <w:rsid w:val="00E618BF"/>
    <w:rsid w:val="00EF423E"/>
    <w:rsid w:val="00F73626"/>
    <w:rsid w:val="00FC4EB0"/>
    <w:rsid w:val="00FE0D26"/>
    <w:rsid w:val="03DA15F5"/>
    <w:rsid w:val="075267B7"/>
    <w:rsid w:val="09D74095"/>
    <w:rsid w:val="0CE217C0"/>
    <w:rsid w:val="0E287FCB"/>
    <w:rsid w:val="12D47D38"/>
    <w:rsid w:val="15905A5B"/>
    <w:rsid w:val="16DC5AD5"/>
    <w:rsid w:val="1B0C6C2C"/>
    <w:rsid w:val="1EC45B21"/>
    <w:rsid w:val="1F2E5690"/>
    <w:rsid w:val="1F445A00"/>
    <w:rsid w:val="20843A2F"/>
    <w:rsid w:val="208A3358"/>
    <w:rsid w:val="209B5A4A"/>
    <w:rsid w:val="234010D6"/>
    <w:rsid w:val="24B36160"/>
    <w:rsid w:val="28842E2E"/>
    <w:rsid w:val="2D7242E4"/>
    <w:rsid w:val="2E4B26BA"/>
    <w:rsid w:val="3114669E"/>
    <w:rsid w:val="3137378C"/>
    <w:rsid w:val="314C2747"/>
    <w:rsid w:val="34270BD4"/>
    <w:rsid w:val="35463FB7"/>
    <w:rsid w:val="3B7647E5"/>
    <w:rsid w:val="3BC907C3"/>
    <w:rsid w:val="3BC936C5"/>
    <w:rsid w:val="3C2C4400"/>
    <w:rsid w:val="3F775EEA"/>
    <w:rsid w:val="3F810BF6"/>
    <w:rsid w:val="409C29E0"/>
    <w:rsid w:val="417F39DA"/>
    <w:rsid w:val="424E02AD"/>
    <w:rsid w:val="43617533"/>
    <w:rsid w:val="43E23FCC"/>
    <w:rsid w:val="461F0E2D"/>
    <w:rsid w:val="50AD52D5"/>
    <w:rsid w:val="510F5F04"/>
    <w:rsid w:val="52323034"/>
    <w:rsid w:val="5247363A"/>
    <w:rsid w:val="538D0287"/>
    <w:rsid w:val="53F34128"/>
    <w:rsid w:val="55D241B1"/>
    <w:rsid w:val="55FE77A4"/>
    <w:rsid w:val="56D2036E"/>
    <w:rsid w:val="576D1B3F"/>
    <w:rsid w:val="57BA6857"/>
    <w:rsid w:val="58E4544E"/>
    <w:rsid w:val="5C1D0DA8"/>
    <w:rsid w:val="5C287D94"/>
    <w:rsid w:val="5F6E0BB6"/>
    <w:rsid w:val="60011786"/>
    <w:rsid w:val="61334F2E"/>
    <w:rsid w:val="625F5B42"/>
    <w:rsid w:val="63BE1AD3"/>
    <w:rsid w:val="64C30BEB"/>
    <w:rsid w:val="66B5531C"/>
    <w:rsid w:val="67125D7D"/>
    <w:rsid w:val="6771707E"/>
    <w:rsid w:val="690F177D"/>
    <w:rsid w:val="6BEE5558"/>
    <w:rsid w:val="6C917DCF"/>
    <w:rsid w:val="6C9E4D3D"/>
    <w:rsid w:val="71E254D9"/>
    <w:rsid w:val="74EE481B"/>
    <w:rsid w:val="75E32177"/>
    <w:rsid w:val="77170059"/>
    <w:rsid w:val="77BA7B83"/>
    <w:rsid w:val="78197E01"/>
    <w:rsid w:val="78CD0ECC"/>
    <w:rsid w:val="7C0D788D"/>
    <w:rsid w:val="7F345040"/>
    <w:rsid w:val="7FC641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qFormat/>
    <w:uiPriority w:val="0"/>
    <w:pPr>
      <w:tabs>
        <w:tab w:val="center" w:pos="4153"/>
        <w:tab w:val="right" w:pos="8306"/>
      </w:tabs>
      <w:snapToGrid w:val="0"/>
      <w:jc w:val="left"/>
    </w:pPr>
    <w:rPr>
      <w:sz w:val="18"/>
      <w:szCs w:val="18"/>
    </w:rPr>
  </w:style>
  <w:style w:type="paragraph" w:styleId="3">
    <w:name w:val="header"/>
    <w:basedOn w:val="1"/>
    <w:link w:val="8"/>
    <w:autoRedefine/>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列出段落1"/>
    <w:basedOn w:val="1"/>
    <w:autoRedefine/>
    <w:qFormat/>
    <w:uiPriority w:val="0"/>
    <w:pPr>
      <w:ind w:firstLine="420" w:firstLineChars="200"/>
    </w:pPr>
  </w:style>
  <w:style w:type="character" w:customStyle="1" w:styleId="8">
    <w:name w:val="页眉 Char"/>
    <w:basedOn w:val="6"/>
    <w:link w:val="3"/>
    <w:autoRedefine/>
    <w:qFormat/>
    <w:uiPriority w:val="0"/>
    <w:rPr>
      <w:rFonts w:ascii="Calibri" w:hAnsi="Calibri" w:eastAsia="宋体" w:cs="黑体"/>
      <w:kern w:val="2"/>
      <w:sz w:val="18"/>
      <w:szCs w:val="18"/>
    </w:rPr>
  </w:style>
  <w:style w:type="character" w:customStyle="1" w:styleId="9">
    <w:name w:val="页脚 Char"/>
    <w:basedOn w:val="6"/>
    <w:link w:val="2"/>
    <w:autoRedefine/>
    <w:qFormat/>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A51C806-3351-4191-B737-258891BAA5E9}">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2111</Words>
  <Characters>2242</Characters>
  <Lines>17</Lines>
  <Paragraphs>5</Paragraphs>
  <TotalTime>17</TotalTime>
  <ScaleCrop>false</ScaleCrop>
  <LinksUpToDate>false</LinksUpToDate>
  <CharactersWithSpaces>2270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2020-07-21T01:54:00Z</dcterms:created>
  <dc:creator>lenovo</dc:creator>
  <cp:lastModifiedBy>WPS_1602116435</cp:lastModifiedBy>
  <cp:lastPrinted>2024-05-23T03:37:00Z</cp:lastPrinted>
  <dcterms:modified xsi:type="dcterms:W3CDTF">2026-06-22T07:20:50Z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92C104A376064A35BD3D3A569F445B0B_13</vt:lpwstr>
  </property>
  <property fmtid="{D5CDD505-2E9C-101B-9397-08002B2CF9AE}" pid="4" name="KSOTemplateDocerSaveRecord">
    <vt:lpwstr>eyJoZGlkIjoiMGY4OWU3NmEzMTk0OGRkMGJhZjQ5M2I0YzlmODU5ZjAiLCJ1c2VySWQiOiIxMTI4MzUzODEyIn0=</vt:lpwstr>
  </property>
</Properties>
</file>