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312B28">
      <w:pPr>
        <w:spacing w:line="560" w:lineRule="exact"/>
        <w:jc w:val="center"/>
        <w:rPr>
          <w:rFonts w:ascii="宋体"/>
          <w:b/>
          <w:bCs/>
          <w:sz w:val="44"/>
          <w:szCs w:val="44"/>
        </w:rPr>
      </w:pPr>
      <w:r>
        <w:rPr>
          <w:rFonts w:hint="eastAsia" w:ascii="宋体" w:hAnsi="宋体" w:cs="宋体"/>
          <w:b/>
          <w:bCs/>
          <w:sz w:val="44"/>
          <w:szCs w:val="44"/>
        </w:rPr>
        <w:t>元氏县融媒体中心</w:t>
      </w:r>
    </w:p>
    <w:p w14:paraId="14817DD6">
      <w:pPr>
        <w:spacing w:line="560" w:lineRule="exact"/>
        <w:jc w:val="center"/>
        <w:rPr>
          <w:rFonts w:ascii="宋体"/>
          <w:b/>
          <w:bCs/>
          <w:sz w:val="44"/>
          <w:szCs w:val="44"/>
        </w:rPr>
      </w:pPr>
      <w:r>
        <w:rPr>
          <w:rFonts w:hint="eastAsia" w:ascii="宋体" w:hAnsi="宋体" w:cs="宋体"/>
          <w:b/>
          <w:bCs/>
          <w:sz w:val="44"/>
          <w:szCs w:val="44"/>
        </w:rPr>
        <w:t>部门</w:t>
      </w:r>
      <w:r>
        <w:rPr>
          <w:rFonts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A3013FD">
      <w:pPr>
        <w:spacing w:line="560" w:lineRule="exact"/>
        <w:jc w:val="center"/>
        <w:rPr>
          <w:rFonts w:ascii="华文楷体" w:eastAsia="华文楷体"/>
          <w:sz w:val="32"/>
          <w:szCs w:val="32"/>
        </w:rPr>
      </w:pPr>
    </w:p>
    <w:p w14:paraId="075DAE9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贯彻落实县委县政府《关于全面落实预算绩效管理的实施意见》（元发﹝</w:t>
      </w:r>
      <w:r>
        <w:rPr>
          <w:rFonts w:ascii="仿宋" w:hAnsi="仿宋" w:eastAsia="仿宋" w:cs="仿宋"/>
          <w:sz w:val="32"/>
          <w:szCs w:val="32"/>
        </w:rPr>
        <w:t>2019</w:t>
      </w:r>
      <w:r>
        <w:rPr>
          <w:rFonts w:hint="eastAsia" w:ascii="仿宋" w:hAnsi="仿宋" w:eastAsia="仿宋" w:cs="仿宋"/>
          <w:sz w:val="32"/>
          <w:szCs w:val="32"/>
        </w:rPr>
        <w:t>﹞</w:t>
      </w:r>
      <w:r>
        <w:rPr>
          <w:rFonts w:ascii="仿宋" w:hAnsi="仿宋" w:eastAsia="仿宋" w:cs="仿宋"/>
          <w:sz w:val="32"/>
          <w:szCs w:val="32"/>
        </w:rPr>
        <w:t>7</w:t>
      </w:r>
      <w:r>
        <w:rPr>
          <w:rFonts w:hint="eastAsia" w:ascii="仿宋" w:hAnsi="仿宋" w:eastAsia="仿宋" w:cs="仿宋"/>
          <w:sz w:val="32"/>
          <w:szCs w:val="32"/>
        </w:rPr>
        <w:t>号）文件精神，遵循“科学性、规范性、客观性和公正性”的原则，对元氏县融媒体中心部门</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年整体支出情况实施了财政支出绩效自评价，形成本评价报告。</w:t>
      </w:r>
    </w:p>
    <w:p w14:paraId="64670AA4">
      <w:pPr>
        <w:adjustRightInd w:val="0"/>
        <w:snapToGrid w:val="0"/>
        <w:spacing w:line="560" w:lineRule="exact"/>
        <w:ind w:firstLine="800" w:firstLineChars="250"/>
        <w:rPr>
          <w:rFonts w:ascii="黑体" w:hAnsi="黑体" w:eastAsia="黑体"/>
          <w:b/>
          <w:bCs/>
          <w:sz w:val="32"/>
          <w:szCs w:val="32"/>
        </w:rPr>
      </w:pPr>
      <w:r>
        <w:rPr>
          <w:rFonts w:hint="eastAsia" w:ascii="黑体" w:hAnsi="黑体" w:eastAsia="黑体" w:cs="黑体"/>
          <w:sz w:val="32"/>
          <w:szCs w:val="32"/>
        </w:rPr>
        <w:t>一、部门基本情况</w:t>
      </w:r>
    </w:p>
    <w:p w14:paraId="69BB912F">
      <w:pPr>
        <w:adjustRightInd w:val="0"/>
        <w:snapToGrid w:val="0"/>
        <w:spacing w:line="560" w:lineRule="exact"/>
        <w:ind w:firstLine="643" w:firstLineChars="200"/>
        <w:rPr>
          <w:rFonts w:ascii="仿宋" w:hAnsi="仿宋" w:eastAsia="仿宋"/>
          <w:b/>
          <w:bCs/>
          <w:sz w:val="32"/>
          <w:szCs w:val="32"/>
        </w:rPr>
      </w:pPr>
      <w:r>
        <w:rPr>
          <w:rFonts w:hint="eastAsia" w:ascii="仿宋" w:hAnsi="仿宋" w:eastAsia="仿宋" w:cs="仿宋"/>
          <w:b/>
          <w:bCs/>
          <w:sz w:val="32"/>
          <w:szCs w:val="32"/>
        </w:rPr>
        <w:t>（一）部门概况</w:t>
      </w:r>
    </w:p>
    <w:p w14:paraId="7548DD3D">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cs="仿宋_GB2312"/>
          <w:sz w:val="32"/>
          <w:szCs w:val="32"/>
        </w:rPr>
        <w:t>主要职能。</w:t>
      </w:r>
    </w:p>
    <w:p w14:paraId="1EFF096B">
      <w:pPr>
        <w:pStyle w:val="1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、做好全县广播电视电影的管理工作，确保全县广播电视安全播出。</w:t>
      </w:r>
    </w:p>
    <w:p w14:paraId="153E657E">
      <w:pPr>
        <w:pStyle w:val="1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、为广大人民群众提供丰富多彩的广播电视节目，全面提高广播电视的覆盖人口数。</w:t>
      </w:r>
    </w:p>
    <w:p w14:paraId="7DF00978">
      <w:pPr>
        <w:pStyle w:val="1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、加强技术管理、提高播出设备的维护维修能力，保障设备正常运转，实现安全播出，提高节目质量。</w:t>
      </w:r>
    </w:p>
    <w:p w14:paraId="43F2A0AB">
      <w:pPr>
        <w:pStyle w:val="10"/>
        <w:rPr>
          <w:rFonts w:ascii="仿宋" w:hAnsi="仿宋" w:eastAsia="仿宋"/>
          <w:sz w:val="32"/>
          <w:szCs w:val="32"/>
        </w:rPr>
      </w:pPr>
      <w:r>
        <w:rPr>
          <w:rFonts w:ascii="仿宋" w:hAnsi="仿宋" w:eastAsia="仿宋" w:cs="仿宋"/>
          <w:sz w:val="32"/>
          <w:szCs w:val="32"/>
        </w:rPr>
        <w:t>4</w:t>
      </w:r>
      <w:r>
        <w:rPr>
          <w:rFonts w:hint="eastAsia" w:ascii="仿宋" w:hAnsi="仿宋" w:eastAsia="仿宋" w:cs="仿宋"/>
          <w:sz w:val="32"/>
          <w:szCs w:val="32"/>
        </w:rPr>
        <w:t>、对广播电视节目传输、覆盖、安全播出情况进行监管，建立广播电视安全保障应急保障体制度，规范广播电视播出。</w:t>
      </w:r>
    </w:p>
    <w:p w14:paraId="0161825F">
      <w:pPr>
        <w:snapToGrid w:val="0"/>
        <w:spacing w:line="520" w:lineRule="exact"/>
        <w:ind w:firstLine="640" w:firstLineChars="200"/>
        <w:rPr>
          <w:rFonts w:ascii="仿宋_GB2312" w:hAnsi="仿宋" w:eastAsia="仿宋_GB2312"/>
          <w:sz w:val="32"/>
          <w:szCs w:val="32"/>
        </w:rPr>
      </w:pPr>
      <w:r>
        <w:rPr>
          <w:rFonts w:ascii="仿宋" w:hAnsi="仿宋" w:eastAsia="仿宋" w:cs="仿宋"/>
          <w:sz w:val="32"/>
          <w:szCs w:val="32"/>
        </w:rPr>
        <w:t>5</w:t>
      </w:r>
      <w:r>
        <w:rPr>
          <w:rFonts w:hint="eastAsia" w:ascii="仿宋" w:hAnsi="仿宋" w:eastAsia="仿宋" w:cs="仿宋"/>
          <w:sz w:val="32"/>
          <w:szCs w:val="32"/>
        </w:rPr>
        <w:t>、拟定融媒体中心发展规划，确保各项业务工作顺利开展，使各项工作正常高效运转。</w:t>
      </w:r>
      <w:r>
        <w:rPr>
          <w:rFonts w:hint="eastAsia" w:ascii="仿宋_GB2312" w:hAnsi="仿宋" w:eastAsia="仿宋_GB2312" w:cs="仿宋_GB2312"/>
          <w:sz w:val="32"/>
          <w:szCs w:val="32"/>
        </w:rPr>
        <w:t>机构情况。</w:t>
      </w:r>
    </w:p>
    <w:p w14:paraId="0868F1D9">
      <w:pPr>
        <w:snapToGrid w:val="0"/>
        <w:spacing w:line="520" w:lineRule="exact"/>
        <w:ind w:firstLine="640" w:firstLineChars="200"/>
        <w:rPr>
          <w:rFonts w:ascii="仿宋_GB2312" w:hAnsi="仿宋" w:eastAsia="仿宋_GB2312"/>
          <w:sz w:val="32"/>
          <w:szCs w:val="32"/>
        </w:rPr>
      </w:pPr>
    </w:p>
    <w:p w14:paraId="3756D9CB">
      <w:pPr>
        <w:ind w:firstLine="640" w:firstLineChars="200"/>
        <w:jc w:val="center"/>
        <w:rPr>
          <w:rFonts w:ascii="仿宋" w:hAnsi="仿宋" w:eastAsia="仿宋"/>
          <w:sz w:val="32"/>
          <w:szCs w:val="32"/>
        </w:rPr>
      </w:pPr>
      <w:r>
        <w:rPr>
          <w:rFonts w:hint="eastAsia" w:ascii="仿宋" w:hAnsi="仿宋" w:eastAsia="仿宋" w:cs="仿宋"/>
          <w:sz w:val="32"/>
          <w:szCs w:val="32"/>
        </w:rPr>
        <w:t>机构设置情况</w:t>
      </w:r>
    </w:p>
    <w:tbl>
      <w:tblPr>
        <w:tblStyle w:val="4"/>
        <w:tblW w:w="95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39"/>
        <w:gridCol w:w="1313"/>
        <w:gridCol w:w="1515"/>
        <w:gridCol w:w="2727"/>
      </w:tblGrid>
      <w:tr w14:paraId="59AD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4039" w:type="dxa"/>
            <w:vAlign w:val="center"/>
          </w:tcPr>
          <w:p w14:paraId="72635710">
            <w:pPr>
              <w:pStyle w:val="11"/>
            </w:pPr>
            <w:r>
              <w:rPr>
                <w:rFonts w:hint="eastAsia" w:ascii="宋体" w:hAnsi="宋体" w:cs="宋体"/>
              </w:rPr>
              <w:t>单位名称</w:t>
            </w:r>
          </w:p>
        </w:tc>
        <w:tc>
          <w:tcPr>
            <w:tcW w:w="1313" w:type="dxa"/>
            <w:vAlign w:val="center"/>
          </w:tcPr>
          <w:p w14:paraId="5B584AE8">
            <w:pPr>
              <w:pStyle w:val="11"/>
            </w:pPr>
            <w:r>
              <w:rPr>
                <w:rFonts w:hint="eastAsia" w:ascii="宋体" w:hAnsi="宋体" w:cs="宋体"/>
              </w:rPr>
              <w:t>单位性质</w:t>
            </w:r>
          </w:p>
        </w:tc>
        <w:tc>
          <w:tcPr>
            <w:tcW w:w="1515" w:type="dxa"/>
            <w:vAlign w:val="center"/>
          </w:tcPr>
          <w:p w14:paraId="6735B781">
            <w:pPr>
              <w:pStyle w:val="11"/>
            </w:pPr>
            <w:r>
              <w:rPr>
                <w:rFonts w:hint="eastAsia" w:ascii="宋体" w:hAnsi="宋体" w:cs="宋体"/>
              </w:rPr>
              <w:t>单位规格</w:t>
            </w:r>
          </w:p>
        </w:tc>
        <w:tc>
          <w:tcPr>
            <w:tcW w:w="2727" w:type="dxa"/>
            <w:vAlign w:val="center"/>
          </w:tcPr>
          <w:p w14:paraId="1385C0C6">
            <w:pPr>
              <w:pStyle w:val="11"/>
            </w:pPr>
            <w:r>
              <w:rPr>
                <w:rFonts w:hint="eastAsia" w:ascii="宋体" w:hAnsi="宋体" w:cs="宋体"/>
              </w:rPr>
              <w:t>经费保障形式</w:t>
            </w:r>
          </w:p>
        </w:tc>
      </w:tr>
      <w:tr w14:paraId="190C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6" w:hRule="atLeast"/>
          <w:jc w:val="center"/>
        </w:trPr>
        <w:tc>
          <w:tcPr>
            <w:tcW w:w="4039" w:type="dxa"/>
            <w:vAlign w:val="center"/>
          </w:tcPr>
          <w:p w14:paraId="7F78EA7E">
            <w:pPr>
              <w:pStyle w:val="12"/>
            </w:pPr>
            <w:r>
              <w:rPr>
                <w:rFonts w:hint="eastAsia" w:ascii="宋体" w:hAnsi="宋体" w:cs="宋体"/>
              </w:rPr>
              <w:t>元氏县融媒体中心本级</w:t>
            </w:r>
          </w:p>
        </w:tc>
        <w:tc>
          <w:tcPr>
            <w:tcW w:w="1313" w:type="dxa"/>
            <w:vAlign w:val="center"/>
          </w:tcPr>
          <w:p w14:paraId="11D30319">
            <w:pPr>
              <w:pStyle w:val="13"/>
            </w:pPr>
            <w:r>
              <w:rPr>
                <w:rFonts w:hint="eastAsia" w:ascii="宋体" w:hAnsi="宋体" w:cs="宋体"/>
              </w:rPr>
              <w:t>事业</w:t>
            </w:r>
          </w:p>
        </w:tc>
        <w:tc>
          <w:tcPr>
            <w:tcW w:w="1515" w:type="dxa"/>
            <w:vAlign w:val="center"/>
          </w:tcPr>
          <w:p w14:paraId="3C7FD3F0">
            <w:pPr>
              <w:pStyle w:val="13"/>
            </w:pPr>
            <w:r>
              <w:rPr>
                <w:rFonts w:hint="eastAsia" w:ascii="宋体" w:hAnsi="宋体" w:cs="宋体"/>
              </w:rPr>
              <w:t>正科级</w:t>
            </w:r>
          </w:p>
        </w:tc>
        <w:tc>
          <w:tcPr>
            <w:tcW w:w="2727" w:type="dxa"/>
            <w:vAlign w:val="center"/>
          </w:tcPr>
          <w:p w14:paraId="3E441054">
            <w:pPr>
              <w:pStyle w:val="13"/>
            </w:pPr>
            <w:r>
              <w:rPr>
                <w:rFonts w:hint="eastAsia" w:ascii="宋体" w:hAnsi="宋体" w:cs="宋体"/>
              </w:rPr>
              <w:t>财政性资金基本保证</w:t>
            </w:r>
          </w:p>
        </w:tc>
      </w:tr>
    </w:tbl>
    <w:p w14:paraId="6492CDDF">
      <w:pPr>
        <w:numPr>
          <w:ilvl w:val="0"/>
          <w:numId w:val="1"/>
        </w:num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cs="仿宋_GB2312"/>
          <w:sz w:val="32"/>
          <w:szCs w:val="32"/>
        </w:rPr>
        <w:t>人员情况。</w:t>
      </w:r>
    </w:p>
    <w:p w14:paraId="472DBEBD">
      <w:pPr>
        <w:widowControl/>
        <w:spacing w:line="252" w:lineRule="atLeast"/>
        <w:ind w:firstLine="640" w:firstLineChars="200"/>
        <w:rPr>
          <w:rFonts w:ascii="仿宋" w:hAnsi="仿宋" w:eastAsia="仿宋"/>
          <w:sz w:val="32"/>
          <w:szCs w:val="32"/>
        </w:rPr>
      </w:pPr>
      <w:r>
        <w:rPr>
          <w:rFonts w:ascii="仿宋_GB2312" w:hAnsi="仿宋" w:eastAsia="仿宋_GB2312" w:cs="仿宋_GB2312"/>
          <w:color w:val="000000"/>
          <w:sz w:val="32"/>
          <w:szCs w:val="32"/>
        </w:rPr>
        <w:t>202</w:t>
      </w:r>
      <w:r>
        <w:rPr>
          <w:rFonts w:hint="eastAsia" w:ascii="仿宋_GB2312" w:hAnsi="仿宋" w:eastAsia="仿宋_GB2312" w:cs="仿宋_GB2312"/>
          <w:color w:val="000000"/>
          <w:sz w:val="32"/>
          <w:szCs w:val="32"/>
          <w:lang w:val="en-US" w:eastAsia="zh-CN"/>
        </w:rPr>
        <w:t>5</w:t>
      </w:r>
      <w:r>
        <w:rPr>
          <w:rFonts w:hint="eastAsia" w:ascii="仿宋_GB2312" w:hAnsi="仿宋" w:eastAsia="仿宋_GB2312" w:cs="仿宋_GB2312"/>
          <w:color w:val="000000"/>
          <w:sz w:val="32"/>
          <w:szCs w:val="32"/>
        </w:rPr>
        <w:t>年末实有人数</w:t>
      </w:r>
      <w:r>
        <w:rPr>
          <w:rFonts w:ascii="仿宋_GB2312" w:hAnsi="仿宋" w:eastAsia="仿宋_GB2312" w:cs="仿宋_GB2312"/>
          <w:color w:val="000000"/>
          <w:sz w:val="32"/>
          <w:szCs w:val="32"/>
        </w:rPr>
        <w:t>1</w:t>
      </w:r>
      <w:r>
        <w:rPr>
          <w:rFonts w:hint="eastAsia" w:ascii="仿宋_GB2312" w:hAnsi="仿宋" w:eastAsia="仿宋_GB2312" w:cs="仿宋_GB2312"/>
          <w:color w:val="000000"/>
          <w:sz w:val="32"/>
          <w:szCs w:val="32"/>
          <w:lang w:val="en-US" w:eastAsia="zh-CN"/>
        </w:rPr>
        <w:t>7</w:t>
      </w:r>
      <w:r>
        <w:rPr>
          <w:rFonts w:hint="eastAsia" w:ascii="仿宋_GB2312" w:hAnsi="仿宋" w:eastAsia="仿宋_GB2312" w:cs="仿宋_GB2312"/>
          <w:color w:val="000000"/>
          <w:sz w:val="32"/>
          <w:szCs w:val="32"/>
        </w:rPr>
        <w:t>人，在职人员</w:t>
      </w:r>
      <w:r>
        <w:rPr>
          <w:rFonts w:ascii="仿宋_GB2312" w:hAnsi="仿宋" w:eastAsia="仿宋_GB2312" w:cs="仿宋_GB2312"/>
          <w:color w:val="000000"/>
          <w:sz w:val="32"/>
          <w:szCs w:val="32"/>
        </w:rPr>
        <w:t>1</w:t>
      </w:r>
      <w:r>
        <w:rPr>
          <w:rFonts w:hint="eastAsia" w:ascii="仿宋_GB2312" w:hAnsi="仿宋" w:eastAsia="仿宋_GB2312" w:cs="仿宋_GB2312"/>
          <w:color w:val="000000"/>
          <w:sz w:val="32"/>
          <w:szCs w:val="32"/>
          <w:lang w:val="en-US" w:eastAsia="zh-CN"/>
        </w:rPr>
        <w:t>7</w:t>
      </w:r>
      <w:r>
        <w:rPr>
          <w:rFonts w:hint="eastAsia" w:ascii="仿宋_GB2312" w:hAnsi="仿宋" w:eastAsia="仿宋_GB2312" w:cs="仿宋_GB2312"/>
          <w:color w:val="000000"/>
          <w:sz w:val="32"/>
          <w:szCs w:val="32"/>
        </w:rPr>
        <w:t>人，退休</w:t>
      </w:r>
      <w:r>
        <w:rPr>
          <w:rFonts w:hint="eastAsia" w:ascii="仿宋_GB2312" w:hAnsi="仿宋" w:eastAsia="仿宋_GB2312" w:cs="仿宋_GB2312"/>
          <w:color w:val="000000"/>
          <w:sz w:val="32"/>
          <w:szCs w:val="32"/>
          <w:lang w:val="en-US" w:eastAsia="zh-CN"/>
        </w:rPr>
        <w:t>21</w:t>
      </w:r>
      <w:r>
        <w:rPr>
          <w:rFonts w:hint="eastAsia" w:ascii="仿宋_GB2312" w:hAnsi="仿宋" w:eastAsia="仿宋_GB2312" w:cs="仿宋_GB2312"/>
          <w:color w:val="000000"/>
          <w:sz w:val="32"/>
          <w:szCs w:val="32"/>
        </w:rPr>
        <w:t>人；</w:t>
      </w:r>
      <w:r>
        <w:rPr>
          <w:rFonts w:hint="eastAsia" w:ascii="仿宋" w:hAnsi="仿宋" w:eastAsia="仿宋" w:cs="仿宋"/>
          <w:sz w:val="32"/>
          <w:szCs w:val="32"/>
        </w:rPr>
        <w:t>遗属</w:t>
      </w:r>
      <w:r>
        <w:rPr>
          <w:rFonts w:hint="eastAsia" w:ascii="仿宋" w:hAnsi="仿宋" w:eastAsia="仿宋" w:cs="仿宋"/>
          <w:sz w:val="32"/>
          <w:szCs w:val="32"/>
          <w:lang w:val="en-US" w:eastAsia="zh-CN"/>
        </w:rPr>
        <w:t>4</w:t>
      </w:r>
      <w:r>
        <w:rPr>
          <w:rFonts w:hint="eastAsia" w:ascii="仿宋" w:hAnsi="仿宋" w:eastAsia="仿宋" w:cs="仿宋"/>
          <w:sz w:val="32"/>
          <w:szCs w:val="32"/>
        </w:rPr>
        <w:t>人，公务用车</w:t>
      </w:r>
      <w:r>
        <w:rPr>
          <w:rFonts w:ascii="仿宋" w:hAnsi="仿宋" w:eastAsia="仿宋" w:cs="仿宋"/>
          <w:sz w:val="32"/>
          <w:szCs w:val="32"/>
        </w:rPr>
        <w:t>2</w:t>
      </w:r>
      <w:r>
        <w:rPr>
          <w:rFonts w:hint="eastAsia" w:ascii="仿宋" w:hAnsi="仿宋" w:eastAsia="仿宋" w:cs="仿宋"/>
          <w:sz w:val="32"/>
          <w:szCs w:val="32"/>
        </w:rPr>
        <w:t>辆。</w:t>
      </w:r>
    </w:p>
    <w:p w14:paraId="0BF58A12">
      <w:pPr>
        <w:widowControl/>
        <w:numPr>
          <w:ilvl w:val="0"/>
          <w:numId w:val="1"/>
        </w:numPr>
        <w:spacing w:line="252" w:lineRule="atLeast"/>
        <w:ind w:firstLine="640" w:firstLineChars="200"/>
        <w:rPr>
          <w:rFonts w:ascii="仿宋" w:hAnsi="仿宋" w:eastAsia="仿宋"/>
          <w:sz w:val="32"/>
          <w:szCs w:val="32"/>
        </w:rPr>
      </w:pPr>
      <w:r>
        <w:rPr>
          <w:rFonts w:hint="eastAsia" w:ascii="仿宋" w:hAnsi="仿宋" w:eastAsia="仿宋" w:cs="仿宋"/>
          <w:sz w:val="32"/>
          <w:szCs w:val="32"/>
        </w:rPr>
        <w:t>资产情况。</w:t>
      </w:r>
    </w:p>
    <w:p w14:paraId="01E53DD8">
      <w:pPr>
        <w:widowControl/>
        <w:numPr>
          <w:ilvl w:val="0"/>
          <w:numId w:val="1"/>
        </w:numPr>
        <w:spacing w:line="252" w:lineRule="atLeast"/>
        <w:ind w:firstLine="640" w:firstLineChars="200"/>
        <w:rPr>
          <w:rFonts w:ascii="仿宋" w:hAnsi="仿宋" w:eastAsia="仿宋"/>
          <w:sz w:val="32"/>
          <w:szCs w:val="32"/>
        </w:rPr>
      </w:pPr>
      <w:r>
        <w:rPr>
          <w:rFonts w:hint="eastAsia" w:ascii="仿宋" w:hAnsi="仿宋" w:eastAsia="仿宋" w:cs="仿宋"/>
          <w:sz w:val="32"/>
          <w:szCs w:val="32"/>
        </w:rPr>
        <w:t>我部门固定资产</w:t>
      </w:r>
      <w:r>
        <w:rPr>
          <w:rFonts w:hint="eastAsia" w:ascii="仿宋" w:hAnsi="仿宋" w:eastAsia="仿宋" w:cs="仿宋"/>
          <w:sz w:val="32"/>
          <w:szCs w:val="32"/>
          <w:lang w:val="en-US" w:eastAsia="zh-CN"/>
        </w:rPr>
        <w:t>1236.55</w:t>
      </w:r>
      <w:r>
        <w:rPr>
          <w:rFonts w:hint="eastAsia" w:ascii="仿宋" w:hAnsi="仿宋" w:eastAsia="仿宋" w:cs="仿宋"/>
          <w:sz w:val="32"/>
          <w:szCs w:val="32"/>
        </w:rPr>
        <w:t>万元，其中：房屋</w:t>
      </w:r>
      <w:r>
        <w:rPr>
          <w:rFonts w:hint="eastAsia" w:ascii="仿宋" w:hAnsi="仿宋" w:eastAsia="仿宋" w:cs="仿宋"/>
          <w:sz w:val="32"/>
          <w:szCs w:val="32"/>
          <w:lang w:val="en-US" w:eastAsia="zh-CN"/>
        </w:rPr>
        <w:t>及</w:t>
      </w:r>
      <w:r>
        <w:rPr>
          <w:rFonts w:hint="eastAsia" w:ascii="仿宋" w:hAnsi="仿宋" w:eastAsia="仿宋" w:cs="仿宋"/>
          <w:sz w:val="32"/>
          <w:szCs w:val="32"/>
        </w:rPr>
        <w:t>构筑物</w:t>
      </w:r>
      <w:r>
        <w:rPr>
          <w:rFonts w:hint="eastAsia" w:ascii="仿宋" w:hAnsi="仿宋" w:eastAsia="仿宋" w:cs="仿宋"/>
          <w:sz w:val="32"/>
          <w:szCs w:val="32"/>
          <w:lang w:val="en-US" w:eastAsia="zh-CN"/>
        </w:rPr>
        <w:t>221.12</w:t>
      </w:r>
      <w:r>
        <w:rPr>
          <w:rFonts w:hint="eastAsia" w:ascii="仿宋" w:hAnsi="仿宋" w:eastAsia="仿宋" w:cs="仿宋"/>
          <w:sz w:val="32"/>
          <w:szCs w:val="32"/>
        </w:rPr>
        <w:t>万元，设备（包含车辆）</w:t>
      </w:r>
      <w:r>
        <w:rPr>
          <w:rFonts w:hint="eastAsia" w:ascii="仿宋" w:hAnsi="仿宋" w:eastAsia="仿宋" w:cs="仿宋"/>
          <w:sz w:val="32"/>
          <w:szCs w:val="32"/>
          <w:lang w:val="en-US" w:eastAsia="zh-CN"/>
        </w:rPr>
        <w:t>924.97</w:t>
      </w:r>
      <w:r>
        <w:rPr>
          <w:rFonts w:hint="eastAsia" w:ascii="仿宋" w:hAnsi="仿宋" w:eastAsia="仿宋" w:cs="仿宋"/>
          <w:sz w:val="32"/>
          <w:szCs w:val="32"/>
        </w:rPr>
        <w:t>万元，家具、用具</w:t>
      </w:r>
      <w:r>
        <w:rPr>
          <w:rFonts w:hint="eastAsia" w:ascii="仿宋" w:hAnsi="仿宋" w:eastAsia="仿宋" w:cs="仿宋"/>
          <w:sz w:val="32"/>
          <w:szCs w:val="32"/>
          <w:lang w:val="en-US" w:eastAsia="zh-CN"/>
        </w:rPr>
        <w:t>15.39</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无形资产</w:t>
      </w:r>
      <w:r>
        <w:rPr>
          <w:rFonts w:hint="eastAsia" w:ascii="仿宋" w:hAnsi="仿宋" w:eastAsia="仿宋" w:cs="仿宋"/>
          <w:sz w:val="32"/>
          <w:szCs w:val="32"/>
          <w:lang w:val="en-US" w:eastAsia="zh-CN"/>
        </w:rPr>
        <w:t>75.07</w:t>
      </w:r>
      <w:r>
        <w:rPr>
          <w:rFonts w:hint="eastAsia" w:ascii="仿宋" w:hAnsi="仿宋" w:eastAsia="仿宋" w:cs="仿宋"/>
          <w:sz w:val="32"/>
          <w:szCs w:val="32"/>
        </w:rPr>
        <w:t>万元。</w:t>
      </w:r>
    </w:p>
    <w:p w14:paraId="29570E48">
      <w:pPr>
        <w:numPr>
          <w:ilvl w:val="0"/>
          <w:numId w:val="2"/>
        </w:numPr>
        <w:adjustRightInd w:val="0"/>
        <w:snapToGrid w:val="0"/>
        <w:spacing w:line="560" w:lineRule="exact"/>
        <w:ind w:firstLine="643" w:firstLineChars="200"/>
        <w:rPr>
          <w:rFonts w:ascii="仿宋" w:hAnsi="仿宋" w:eastAsia="仿宋"/>
          <w:b/>
          <w:bCs/>
          <w:sz w:val="32"/>
          <w:szCs w:val="32"/>
        </w:rPr>
      </w:pPr>
      <w:r>
        <w:rPr>
          <w:rFonts w:hint="eastAsia" w:ascii="仿宋" w:hAnsi="仿宋" w:eastAsia="仿宋" w:cs="仿宋"/>
          <w:b/>
          <w:bCs/>
          <w:sz w:val="32"/>
          <w:szCs w:val="32"/>
        </w:rPr>
        <w:t>部门收支预决算情况</w:t>
      </w:r>
    </w:p>
    <w:p w14:paraId="78E2B9F5">
      <w:pPr>
        <w:snapToGrid w:val="0"/>
        <w:spacing w:line="520" w:lineRule="exact"/>
        <w:ind w:firstLine="640" w:firstLineChars="200"/>
        <w:rPr>
          <w:rFonts w:ascii="仿宋" w:hAnsi="仿宋" w:eastAsia="仿宋"/>
          <w:sz w:val="32"/>
          <w:szCs w:val="32"/>
        </w:rPr>
      </w:pPr>
      <w:r>
        <w:rPr>
          <w:rFonts w:hint="eastAsia" w:ascii="仿宋_GB2312" w:eastAsia="仿宋_GB2312" w:cs="仿宋_GB2312"/>
          <w:sz w:val="32"/>
          <w:szCs w:val="32"/>
        </w:rPr>
        <w:t>本</w:t>
      </w:r>
      <w:r>
        <w:rPr>
          <w:rFonts w:hint="eastAsia" w:ascii="仿宋" w:hAnsi="仿宋" w:eastAsia="仿宋" w:cs="仿宋"/>
          <w:sz w:val="32"/>
          <w:szCs w:val="32"/>
        </w:rPr>
        <w:t>部门</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年度专项资金预算（调整后）</w:t>
      </w:r>
      <w:r>
        <w:rPr>
          <w:rFonts w:hint="eastAsia" w:ascii="仿宋" w:hAnsi="仿宋" w:eastAsia="仿宋" w:cs="仿宋"/>
          <w:color w:val="333333"/>
          <w:sz w:val="32"/>
          <w:szCs w:val="32"/>
          <w:shd w:val="clear" w:color="auto" w:fill="FFFFFF"/>
          <w:lang w:val="en-US" w:eastAsia="zh-CN"/>
        </w:rPr>
        <w:t>331.47</w:t>
      </w:r>
      <w:r>
        <w:rPr>
          <w:rFonts w:hint="eastAsia" w:ascii="仿宋" w:hAnsi="仿宋" w:eastAsia="仿宋" w:cs="仿宋"/>
          <w:sz w:val="32"/>
          <w:szCs w:val="32"/>
        </w:rPr>
        <w:t>万元，涉及项目</w:t>
      </w:r>
      <w:r>
        <w:rPr>
          <w:rFonts w:hint="eastAsia" w:ascii="仿宋" w:hAnsi="仿宋" w:eastAsia="仿宋" w:cs="仿宋"/>
          <w:sz w:val="32"/>
          <w:szCs w:val="32"/>
          <w:lang w:val="en-US" w:eastAsia="zh-CN"/>
        </w:rPr>
        <w:t>13</w:t>
      </w:r>
      <w:r>
        <w:rPr>
          <w:rFonts w:hint="eastAsia" w:ascii="仿宋" w:hAnsi="仿宋" w:eastAsia="仿宋" w:cs="仿宋"/>
          <w:sz w:val="32"/>
          <w:szCs w:val="32"/>
        </w:rPr>
        <w:t>个，全年预算执行数：</w:t>
      </w:r>
      <w:r>
        <w:rPr>
          <w:rFonts w:hint="eastAsia" w:ascii="仿宋" w:hAnsi="仿宋" w:eastAsia="仿宋" w:cs="仿宋"/>
          <w:color w:val="333333"/>
          <w:sz w:val="32"/>
          <w:szCs w:val="32"/>
          <w:shd w:val="clear" w:color="auto" w:fill="FFFFFF"/>
          <w:lang w:val="en-US" w:eastAsia="zh-CN"/>
        </w:rPr>
        <w:t>324.30</w:t>
      </w:r>
      <w:r>
        <w:rPr>
          <w:rFonts w:hint="eastAsia" w:ascii="仿宋" w:hAnsi="仿宋" w:eastAsia="仿宋" w:cs="仿宋"/>
          <w:sz w:val="32"/>
          <w:szCs w:val="32"/>
        </w:rPr>
        <w:t>万元。</w:t>
      </w:r>
    </w:p>
    <w:p w14:paraId="060C4F0B">
      <w:pPr>
        <w:numPr>
          <w:ilvl w:val="0"/>
          <w:numId w:val="2"/>
        </w:numPr>
        <w:adjustRightInd w:val="0"/>
        <w:snapToGrid w:val="0"/>
        <w:spacing w:line="560" w:lineRule="exact"/>
        <w:ind w:firstLine="643" w:firstLineChars="200"/>
        <w:rPr>
          <w:rFonts w:ascii="仿宋" w:hAnsi="仿宋" w:eastAsia="仿宋"/>
          <w:b/>
          <w:bCs/>
          <w:sz w:val="32"/>
          <w:szCs w:val="32"/>
        </w:rPr>
      </w:pPr>
      <w:r>
        <w:rPr>
          <w:rFonts w:hint="eastAsia" w:ascii="仿宋" w:hAnsi="仿宋" w:eastAsia="仿宋" w:cs="仿宋"/>
          <w:b/>
          <w:bCs/>
          <w:sz w:val="32"/>
          <w:szCs w:val="32"/>
        </w:rPr>
        <w:t>部门整体支出绩效目标、指标</w:t>
      </w:r>
    </w:p>
    <w:p w14:paraId="5078CC48">
      <w:pPr>
        <w:spacing w:line="600" w:lineRule="exact"/>
        <w:ind w:firstLine="643" w:firstLineChars="200"/>
        <w:rPr>
          <w:rFonts w:ascii="仿宋" w:hAnsi="仿宋" w:eastAsia="仿宋"/>
          <w:sz w:val="32"/>
          <w:szCs w:val="32"/>
        </w:rPr>
      </w:pPr>
      <w:r>
        <w:rPr>
          <w:rFonts w:hint="eastAsia" w:ascii="仿宋" w:hAnsi="仿宋" w:eastAsia="仿宋" w:cs="仿宋"/>
          <w:b/>
          <w:bCs/>
          <w:sz w:val="32"/>
          <w:szCs w:val="32"/>
        </w:rPr>
        <w:t>整体支出绩效目标：</w:t>
      </w:r>
      <w:r>
        <w:rPr>
          <w:rFonts w:hint="eastAsia" w:ascii="仿宋" w:hAnsi="仿宋" w:eastAsia="仿宋" w:cs="仿宋"/>
          <w:sz w:val="32"/>
          <w:szCs w:val="32"/>
        </w:rPr>
        <w:t>今年以来</w:t>
      </w:r>
      <w:r>
        <w:rPr>
          <w:rFonts w:ascii="仿宋" w:hAnsi="仿宋" w:eastAsia="仿宋" w:cs="仿宋"/>
          <w:sz w:val="32"/>
          <w:szCs w:val="32"/>
        </w:rPr>
        <w:t>,</w:t>
      </w:r>
      <w:r>
        <w:rPr>
          <w:rFonts w:hint="eastAsia" w:ascii="仿宋" w:hAnsi="仿宋" w:eastAsia="仿宋" w:cs="仿宋"/>
          <w:sz w:val="32"/>
          <w:szCs w:val="32"/>
        </w:rPr>
        <w:t>在县委、县政府的正确领导下，融媒体中心始终宣传贯彻执行党和国家的路线、方针、政策、把握正确的舆论导向，充分发挥党和政府的喉舌作用，围绕县委、县政府的中心工作开展新闻宣传，唱响主旋律，打好主动仗，努力为全县经济社会发展营造良好的舆论氛围。</w:t>
      </w:r>
    </w:p>
    <w:p w14:paraId="2682915C">
      <w:pPr>
        <w:spacing w:line="560" w:lineRule="exact"/>
        <w:ind w:firstLine="640" w:firstLineChars="200"/>
        <w:rPr>
          <w:rFonts w:ascii="仿宋" w:hAnsi="仿宋" w:eastAsia="仿宋"/>
          <w:sz w:val="32"/>
          <w:szCs w:val="32"/>
        </w:rPr>
      </w:pPr>
      <w:r>
        <w:rPr>
          <w:rFonts w:hint="eastAsia" w:ascii="仿宋" w:hAnsi="仿宋" w:eastAsia="仿宋" w:cs="仿宋"/>
          <w:sz w:val="32"/>
          <w:szCs w:val="32"/>
        </w:rPr>
        <w:t>做强做大《元氏发布》、《元氏融媒》两个公众号，强力推进元氏融媒抖音、快手微短视频宣传。坚持在新闻发布上突出一个“快”字，在内容上做精做细，不断提升新闻质量</w:t>
      </w:r>
      <w:r>
        <w:rPr>
          <w:rFonts w:ascii="仿宋" w:hAnsi="仿宋" w:eastAsia="仿宋" w:cs="仿宋"/>
          <w:sz w:val="32"/>
          <w:szCs w:val="32"/>
        </w:rPr>
        <w:t>;</w:t>
      </w:r>
      <w:r>
        <w:rPr>
          <w:rFonts w:hint="eastAsia" w:ascii="仿宋" w:hAnsi="仿宋" w:eastAsia="仿宋" w:cs="仿宋"/>
          <w:sz w:val="32"/>
          <w:szCs w:val="32"/>
        </w:rPr>
        <w:t>坚持把对外宣传作为推介元氏新发展、展示元氏新成就、树立元氏新形象的重要一环</w:t>
      </w:r>
      <w:r>
        <w:rPr>
          <w:rFonts w:ascii="仿宋" w:hAnsi="仿宋" w:eastAsia="仿宋" w:cs="仿宋"/>
          <w:sz w:val="32"/>
          <w:szCs w:val="32"/>
        </w:rPr>
        <w:t>;</w:t>
      </w:r>
      <w:r>
        <w:rPr>
          <w:rFonts w:hint="eastAsia" w:ascii="仿宋" w:hAnsi="仿宋" w:eastAsia="仿宋" w:cs="仿宋"/>
          <w:sz w:val="32"/>
          <w:szCs w:val="32"/>
        </w:rPr>
        <w:t>我中心围绕县委、县政府中心工作展开宣传，主要</w:t>
      </w:r>
      <w:r>
        <w:rPr>
          <w:rFonts w:hint="eastAsia" w:ascii="仿宋" w:hAnsi="仿宋" w:eastAsia="仿宋" w:cs="仿宋"/>
          <w:color w:val="000000"/>
          <w:sz w:val="32"/>
          <w:szCs w:val="32"/>
        </w:rPr>
        <w:t>围绕全县重点项目建设、人居环境整治、乡村建设、森林防火、防汛抗旱、精神文明建设、学习</w:t>
      </w:r>
      <w:r>
        <w:rPr>
          <w:rFonts w:hint="eastAsia" w:ascii="仿宋" w:hAnsi="仿宋" w:eastAsia="仿宋" w:cs="仿宋"/>
          <w:color w:val="000000"/>
          <w:sz w:val="32"/>
          <w:szCs w:val="32"/>
          <w:lang w:val="en-US" w:eastAsia="zh-CN"/>
        </w:rPr>
        <w:t>贯彻</w:t>
      </w:r>
      <w:r>
        <w:rPr>
          <w:rFonts w:hint="eastAsia" w:ascii="仿宋" w:hAnsi="仿宋" w:eastAsia="仿宋" w:cs="仿宋"/>
          <w:color w:val="000000"/>
          <w:sz w:val="32"/>
          <w:szCs w:val="32"/>
        </w:rPr>
        <w:t>习近平新时代中国特色社会主义思想等工作开设专题专栏进行新闻报道</w:t>
      </w:r>
      <w:r>
        <w:rPr>
          <w:rFonts w:ascii="仿宋" w:hAnsi="仿宋" w:eastAsia="仿宋" w:cs="仿宋"/>
          <w:color w:val="000000"/>
          <w:sz w:val="32"/>
          <w:szCs w:val="32"/>
        </w:rPr>
        <w:t>;</w:t>
      </w:r>
      <w:r>
        <w:rPr>
          <w:rFonts w:hint="eastAsia" w:ascii="仿宋" w:hAnsi="仿宋" w:eastAsia="仿宋" w:cs="仿宋"/>
          <w:sz w:val="32"/>
          <w:szCs w:val="32"/>
        </w:rPr>
        <w:t>县委县政府对融媒体的发展高度重视，解决了融媒体办公场所面积较小，达不到县级融媒体建设要求的问题，批准融媒体整体搬迁至龙河大剧院，办公场地正在紧锣密鼓的装修中，完工后开展搬迁工作</w:t>
      </w:r>
      <w:r>
        <w:rPr>
          <w:rFonts w:ascii="仿宋" w:hAnsi="仿宋" w:eastAsia="仿宋" w:cs="仿宋"/>
          <w:sz w:val="32"/>
          <w:szCs w:val="32"/>
        </w:rPr>
        <w:t>;</w:t>
      </w:r>
      <w:r>
        <w:rPr>
          <w:rFonts w:hint="eastAsia" w:ascii="仿宋" w:hAnsi="仿宋" w:eastAsia="仿宋" w:cs="仿宋"/>
          <w:sz w:val="32"/>
          <w:szCs w:val="32"/>
        </w:rPr>
        <w:t>为确保广播电视设施安全正常运行，确保重点保障期、重要时段安全播出，切实强化组织领导，统筹协调安全播出工作。我中心严格落实工作责任制和</w:t>
      </w:r>
      <w:r>
        <w:rPr>
          <w:rFonts w:ascii="仿宋" w:hAnsi="仿宋" w:eastAsia="仿宋" w:cs="仿宋"/>
          <w:sz w:val="32"/>
          <w:szCs w:val="32"/>
        </w:rPr>
        <w:t>24</w:t>
      </w:r>
      <w:r>
        <w:rPr>
          <w:rFonts w:hint="eastAsia" w:ascii="仿宋" w:hAnsi="仿宋" w:eastAsia="仿宋" w:cs="仿宋"/>
          <w:sz w:val="32"/>
          <w:szCs w:val="32"/>
        </w:rPr>
        <w:t>小时值班制，做到对各部位发生的重大问题、重要情况及时、准确处理。实现安全播出零事故。</w:t>
      </w:r>
    </w:p>
    <w:p w14:paraId="2A9A93E9">
      <w:pPr>
        <w:adjustRightInd w:val="0"/>
        <w:snapToGrid w:val="0"/>
        <w:spacing w:line="560" w:lineRule="exact"/>
        <w:ind w:firstLine="640" w:firstLineChars="200"/>
        <w:rPr>
          <w:rFonts w:ascii="仿宋" w:hAnsi="仿宋" w:eastAsia="仿宋"/>
          <w:b/>
          <w:bCs/>
          <w:sz w:val="32"/>
          <w:szCs w:val="32"/>
        </w:rPr>
      </w:pPr>
      <w:r>
        <w:rPr>
          <w:rFonts w:hint="eastAsia" w:ascii="黑体" w:hAnsi="黑体" w:eastAsia="黑体" w:cs="黑体"/>
          <w:sz w:val="32"/>
          <w:szCs w:val="32"/>
        </w:rPr>
        <w:t>二、自评工作开展情况</w:t>
      </w:r>
    </w:p>
    <w:p w14:paraId="0BB5C4D3">
      <w:pPr>
        <w:spacing w:line="560" w:lineRule="exact"/>
        <w:ind w:firstLine="630" w:firstLineChars="196"/>
        <w:rPr>
          <w:rFonts w:ascii="仿宋" w:hAnsi="仿宋" w:eastAsia="仿宋"/>
          <w:b/>
          <w:bCs/>
          <w:sz w:val="32"/>
          <w:szCs w:val="32"/>
        </w:rPr>
      </w:pPr>
      <w:r>
        <w:rPr>
          <w:rFonts w:hint="eastAsia" w:ascii="仿宋" w:hAnsi="仿宋" w:eastAsia="仿宋" w:cs="仿宋"/>
          <w:b/>
          <w:bCs/>
          <w:sz w:val="32"/>
          <w:szCs w:val="32"/>
        </w:rPr>
        <w:t>（一）自评的组织工作</w:t>
      </w:r>
    </w:p>
    <w:p w14:paraId="5DF96EC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为做好</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年部门整体支出绩效自评工作，我台成立了以台长任组长，</w:t>
      </w:r>
      <w:r>
        <w:rPr>
          <w:rFonts w:hint="eastAsia" w:ascii="仿宋" w:hAnsi="仿宋" w:eastAsia="仿宋" w:cs="仿宋"/>
          <w:color w:val="333333"/>
          <w:sz w:val="32"/>
          <w:szCs w:val="32"/>
          <w:shd w:val="clear" w:color="auto" w:fill="FFFFFF"/>
        </w:rPr>
        <w:t>办公室及相关科室主任为组员</w:t>
      </w:r>
      <w:r>
        <w:rPr>
          <w:rFonts w:hint="eastAsia" w:ascii="仿宋" w:hAnsi="仿宋" w:eastAsia="仿宋" w:cs="仿宋"/>
          <w:sz w:val="32"/>
          <w:szCs w:val="32"/>
        </w:rPr>
        <w:t>的绩效自评工作领导小组，办公室负责此次绩效自评的牵头组织、审核、汇总，各相关科室负责所管理项目的绩效自评。</w:t>
      </w:r>
      <w:r>
        <w:rPr>
          <w:rFonts w:hint="eastAsia" w:ascii="仿宋" w:hAnsi="仿宋" w:eastAsia="仿宋" w:cs="仿宋"/>
          <w:color w:val="333333"/>
          <w:sz w:val="32"/>
          <w:szCs w:val="32"/>
          <w:shd w:val="clear" w:color="auto" w:fill="FFFFFF"/>
        </w:rPr>
        <w:t>结合去年该项工作经验，确保此项工作能够保质保量完成。</w:t>
      </w:r>
    </w:p>
    <w:p w14:paraId="4D91A9F3">
      <w:pPr>
        <w:numPr>
          <w:ilvl w:val="0"/>
          <w:numId w:val="3"/>
        </w:numPr>
        <w:spacing w:line="560" w:lineRule="exact"/>
        <w:rPr>
          <w:rFonts w:ascii="仿宋" w:hAnsi="仿宋" w:eastAsia="仿宋"/>
          <w:b/>
          <w:bCs/>
          <w:sz w:val="32"/>
          <w:szCs w:val="32"/>
        </w:rPr>
      </w:pPr>
      <w:r>
        <w:rPr>
          <w:rFonts w:hint="eastAsia" w:ascii="仿宋" w:hAnsi="仿宋" w:eastAsia="仿宋" w:cs="仿宋"/>
          <w:b/>
          <w:bCs/>
          <w:sz w:val="32"/>
          <w:szCs w:val="32"/>
        </w:rPr>
        <w:t>自评的方法和过程</w:t>
      </w:r>
    </w:p>
    <w:p w14:paraId="40BA9939">
      <w:pPr>
        <w:spacing w:line="560" w:lineRule="exact"/>
        <w:ind w:firstLine="640" w:firstLineChars="200"/>
        <w:rPr>
          <w:rFonts w:ascii="仿宋" w:hAnsi="仿宋" w:eastAsia="仿宋"/>
          <w:sz w:val="32"/>
          <w:szCs w:val="32"/>
        </w:rPr>
      </w:pPr>
      <w:r>
        <w:rPr>
          <w:rFonts w:hint="eastAsia" w:ascii="仿宋" w:hAnsi="仿宋" w:eastAsia="仿宋" w:cs="仿宋"/>
          <w:sz w:val="32"/>
          <w:szCs w:val="32"/>
        </w:rPr>
        <w:t>为提高自评结果的客观公正性，本着科学规范、客观公正、注重实效的原则，领导小组对部门整体支出绩效自评作进行了周密部署，转发了《元氏县财政局关于开展</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县级预算项目绩效自评工作的通知》，明确了绩效自评的方法、步骤，对自评工作提出了明确要求。财务科及各相关科室接到通知后按照自评方案要求，积极做好数据收集、现场核查、满意度调查等相关工作，及时提供整体支出绩效自评相关材料，确保按时保质完成自评工作。</w:t>
      </w:r>
    </w:p>
    <w:p w14:paraId="44215A4A">
      <w:pPr>
        <w:spacing w:line="560" w:lineRule="exact"/>
        <w:ind w:firstLine="480" w:firstLineChars="150"/>
        <w:rPr>
          <w:rFonts w:ascii="黑体" w:hAnsi="黑体" w:eastAsia="黑体"/>
          <w:b/>
          <w:bCs/>
          <w:sz w:val="32"/>
          <w:szCs w:val="32"/>
        </w:rPr>
      </w:pPr>
      <w:r>
        <w:rPr>
          <w:rFonts w:hint="eastAsia" w:ascii="黑体" w:hAnsi="黑体" w:eastAsia="黑体" w:cs="黑体"/>
          <w:sz w:val="32"/>
          <w:szCs w:val="32"/>
        </w:rPr>
        <w:t>三、部门整体支出绩效目标实现情况及指标分析</w:t>
      </w:r>
    </w:p>
    <w:p w14:paraId="298C998D">
      <w:pPr>
        <w:numPr>
          <w:ilvl w:val="0"/>
          <w:numId w:val="4"/>
        </w:numPr>
        <w:spacing w:line="560" w:lineRule="exact"/>
        <w:ind w:firstLine="643" w:firstLineChars="200"/>
        <w:rPr>
          <w:rFonts w:ascii="仿宋" w:hAnsi="仿宋" w:eastAsia="仿宋"/>
          <w:b/>
          <w:bCs/>
          <w:sz w:val="32"/>
          <w:szCs w:val="32"/>
        </w:rPr>
      </w:pPr>
      <w:r>
        <w:rPr>
          <w:rFonts w:hint="eastAsia" w:ascii="仿宋" w:hAnsi="仿宋" w:eastAsia="仿宋" w:cs="仿宋"/>
          <w:b/>
          <w:bCs/>
          <w:sz w:val="32"/>
          <w:szCs w:val="32"/>
        </w:rPr>
        <w:t>总体绩效目标实现情况</w:t>
      </w:r>
    </w:p>
    <w:p w14:paraId="31BC9638">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jc w:val="left"/>
        <w:rPr>
          <w:rFonts w:ascii="仿宋" w:hAnsi="仿宋" w:eastAsia="仿宋"/>
          <w:sz w:val="32"/>
          <w:szCs w:val="32"/>
        </w:rPr>
      </w:pPr>
      <w:r>
        <w:rPr>
          <w:rFonts w:hint="eastAsia" w:ascii="仿宋" w:hAnsi="仿宋" w:eastAsia="仿宋" w:cs="仿宋"/>
          <w:sz w:val="32"/>
          <w:szCs w:val="32"/>
        </w:rPr>
        <w:t>围绕县委、县政府的中心工作开展新闻宣传，唱响主旋律，打好主动仗，努力为全县经济社会发展营造良好的舆论氛围。做强做大《元氏发布》、《元氏融媒》两个公众号，强力推进元氏融媒抖音、快手微短视频宣传。</w:t>
      </w:r>
    </w:p>
    <w:p w14:paraId="64C54141">
      <w:pPr>
        <w:pStyle w:val="2"/>
        <w:ind w:firstLine="640" w:firstLineChars="200"/>
        <w:jc w:val="left"/>
        <w:rPr>
          <w:rFonts w:ascii="仿宋" w:hAnsi="仿宋" w:eastAsia="仿宋"/>
          <w:color w:val="000000"/>
          <w:sz w:val="32"/>
          <w:szCs w:val="32"/>
        </w:rPr>
      </w:pPr>
      <w:r>
        <w:rPr>
          <w:rFonts w:ascii="仿宋" w:hAnsi="仿宋" w:eastAsia="仿宋" w:cs="仿宋"/>
          <w:sz w:val="32"/>
          <w:szCs w:val="32"/>
        </w:rPr>
        <w:t xml:space="preserve"> </w:t>
      </w:r>
      <w:r>
        <w:rPr>
          <w:rFonts w:hint="eastAsia" w:ascii="仿宋" w:hAnsi="仿宋" w:eastAsia="仿宋" w:cs="仿宋"/>
          <w:sz w:val="32"/>
          <w:szCs w:val="32"/>
        </w:rPr>
        <w:t>我中心围绕县委、县政府中心工作展开宣传，主要</w:t>
      </w:r>
      <w:r>
        <w:rPr>
          <w:rFonts w:hint="eastAsia" w:ascii="仿宋" w:hAnsi="仿宋" w:eastAsia="仿宋" w:cs="仿宋"/>
          <w:color w:val="000000"/>
          <w:sz w:val="32"/>
          <w:szCs w:val="32"/>
        </w:rPr>
        <w:t>围绕全县重点项目建设、人居环境整治、乡村建设、森林防火、防汛抗旱、精神文明建设、学习</w:t>
      </w:r>
      <w:r>
        <w:rPr>
          <w:rFonts w:hint="eastAsia" w:ascii="仿宋" w:hAnsi="仿宋" w:eastAsia="仿宋" w:cs="仿宋"/>
          <w:color w:val="000000"/>
          <w:sz w:val="32"/>
          <w:szCs w:val="32"/>
          <w:lang w:val="en-US" w:eastAsia="zh-CN"/>
        </w:rPr>
        <w:t>贯彻</w:t>
      </w:r>
      <w:bookmarkStart w:id="0" w:name="_GoBack"/>
      <w:r>
        <w:rPr>
          <w:rFonts w:hint="eastAsia" w:ascii="仿宋" w:hAnsi="仿宋" w:eastAsia="仿宋" w:cs="仿宋"/>
          <w:color w:val="000000"/>
          <w:sz w:val="32"/>
          <w:szCs w:val="32"/>
        </w:rPr>
        <w:t>习近平新时代中国特色社会主义思想</w:t>
      </w:r>
      <w:bookmarkEnd w:id="0"/>
      <w:r>
        <w:rPr>
          <w:rFonts w:hint="eastAsia" w:ascii="仿宋" w:hAnsi="仿宋" w:eastAsia="仿宋" w:cs="仿宋"/>
          <w:color w:val="000000"/>
          <w:sz w:val="32"/>
          <w:szCs w:val="32"/>
        </w:rPr>
        <w:t>等工作开设专题专栏进行新闻报道。</w:t>
      </w:r>
    </w:p>
    <w:p w14:paraId="00346A04">
      <w:pPr>
        <w:ind w:firstLine="640" w:firstLineChars="200"/>
      </w:pPr>
      <w:r>
        <w:rPr>
          <w:rFonts w:hint="eastAsia" w:ascii="仿宋" w:hAnsi="仿宋" w:eastAsia="仿宋" w:cs="仿宋"/>
          <w:sz w:val="32"/>
          <w:szCs w:val="32"/>
        </w:rPr>
        <w:t>县委县政府对融媒体的发展高度重视，解决了融媒体办公场所面积较小，达不到县级融媒体建设要求的问题，批准融媒体整体搬迁至龙河大剧院，办公场地装修完成。</w:t>
      </w:r>
    </w:p>
    <w:p w14:paraId="37D1C39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360" w:lineRule="auto"/>
        <w:ind w:firstLine="640"/>
        <w:jc w:val="left"/>
        <w:rPr>
          <w:rFonts w:ascii="仿宋" w:hAnsi="仿宋" w:eastAsia="仿宋"/>
          <w:kern w:val="0"/>
          <w:sz w:val="32"/>
          <w:szCs w:val="32"/>
        </w:rPr>
      </w:pPr>
      <w:r>
        <w:rPr>
          <w:rFonts w:hint="eastAsia" w:ascii="仿宋" w:hAnsi="仿宋" w:eastAsia="仿宋" w:cs="仿宋"/>
          <w:kern w:val="0"/>
          <w:sz w:val="32"/>
          <w:szCs w:val="32"/>
        </w:rPr>
        <w:t>为确保广播电视设施安全正常运行，确保重点保障期、重要时段安全播出，切实强化组织领导，统筹协调安全播出工作。我台严格落实工作责任制和</w:t>
      </w:r>
      <w:r>
        <w:rPr>
          <w:rFonts w:ascii="仿宋" w:hAnsi="仿宋" w:eastAsia="仿宋" w:cs="仿宋"/>
          <w:kern w:val="0"/>
          <w:sz w:val="32"/>
          <w:szCs w:val="32"/>
        </w:rPr>
        <w:t>24</w:t>
      </w:r>
      <w:r>
        <w:rPr>
          <w:rFonts w:hint="eastAsia" w:ascii="仿宋" w:hAnsi="仿宋" w:eastAsia="仿宋" w:cs="仿宋"/>
          <w:kern w:val="0"/>
          <w:sz w:val="32"/>
          <w:szCs w:val="32"/>
        </w:rPr>
        <w:t>小时值班制，做到对各部位发生的重大问题、重要情况及时、准确处理。实现安全播出零事故。</w:t>
      </w:r>
    </w:p>
    <w:p w14:paraId="5070C30E">
      <w:pPr>
        <w:spacing w:line="560" w:lineRule="exact"/>
        <w:ind w:firstLine="642"/>
        <w:rPr>
          <w:rFonts w:ascii="宋体"/>
          <w:b/>
          <w:bCs/>
          <w:color w:val="000000"/>
          <w:kern w:val="0"/>
          <w:sz w:val="43"/>
          <w:szCs w:val="43"/>
        </w:rPr>
      </w:pPr>
      <w:r>
        <w:rPr>
          <w:rFonts w:hint="eastAsia" w:ascii="仿宋" w:hAnsi="仿宋" w:eastAsia="仿宋" w:cs="仿宋"/>
          <w:b/>
          <w:bCs/>
          <w:sz w:val="32"/>
          <w:szCs w:val="32"/>
        </w:rPr>
        <w:t>（二）分项绩效目标实现情况及指标分析</w:t>
      </w:r>
    </w:p>
    <w:p w14:paraId="02A94C8F">
      <w:pPr>
        <w:pStyle w:val="9"/>
        <w:rPr>
          <w:rFonts w:ascii="仿宋" w:hAnsi="仿宋" w:eastAsia="仿宋"/>
          <w:sz w:val="32"/>
          <w:szCs w:val="32"/>
        </w:rPr>
      </w:pPr>
      <w:r>
        <w:rPr>
          <w:rFonts w:hint="eastAsia" w:ascii="仿宋" w:hAnsi="仿宋" w:eastAsia="仿宋" w:cs="仿宋"/>
          <w:sz w:val="32"/>
          <w:szCs w:val="32"/>
        </w:rPr>
        <w:t>通过体制改革和机制创新，提高舆论引导能力，解放和发展文化</w:t>
      </w:r>
      <w:r>
        <w:rPr>
          <w:rFonts w:ascii="仿宋" w:hAnsi="仿宋" w:eastAsia="仿宋" w:cs="仿宋"/>
          <w:sz w:val="32"/>
          <w:szCs w:val="32"/>
        </w:rPr>
        <w:t xml:space="preserve"> </w:t>
      </w:r>
      <w:r>
        <w:rPr>
          <w:rFonts w:hint="eastAsia" w:ascii="仿宋" w:hAnsi="仿宋" w:eastAsia="仿宋" w:cs="仿宋"/>
          <w:sz w:val="32"/>
          <w:szCs w:val="32"/>
        </w:rPr>
        <w:t>生产力，实现资源整合，集约经营和规模效益，以广播电视为主业，以节目和新媒体业务开发为增长点的多功能的电视台。</w:t>
      </w:r>
    </w:p>
    <w:p w14:paraId="4BBFC1B1">
      <w:pPr>
        <w:pStyle w:val="9"/>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、广播影视节目制作播出</w:t>
      </w:r>
    </w:p>
    <w:p w14:paraId="2C1D0EB4">
      <w:pPr>
        <w:pStyle w:val="9"/>
        <w:rPr>
          <w:rFonts w:ascii="仿宋" w:hAnsi="仿宋" w:eastAsia="仿宋"/>
          <w:sz w:val="32"/>
          <w:szCs w:val="32"/>
        </w:rPr>
      </w:pPr>
      <w:r>
        <w:rPr>
          <w:rFonts w:hint="eastAsia" w:ascii="仿宋" w:hAnsi="仿宋" w:eastAsia="仿宋" w:cs="仿宋"/>
          <w:sz w:val="32"/>
          <w:szCs w:val="32"/>
        </w:rPr>
        <w:t>绩效目标：坚持正确舆论导向，发挥主流媒体作用，加强内容形式以及方法手段创新，提高广播电视覆盖人口规模与数量，提升电台、电视台影响力。</w:t>
      </w:r>
    </w:p>
    <w:p w14:paraId="482378D4">
      <w:pPr>
        <w:pStyle w:val="9"/>
        <w:rPr>
          <w:rFonts w:ascii="仿宋" w:hAnsi="仿宋" w:eastAsia="仿宋"/>
          <w:sz w:val="32"/>
          <w:szCs w:val="32"/>
        </w:rPr>
      </w:pPr>
      <w:r>
        <w:rPr>
          <w:rFonts w:hint="eastAsia" w:ascii="仿宋" w:hAnsi="仿宋" w:eastAsia="仿宋" w:cs="仿宋"/>
          <w:sz w:val="32"/>
          <w:szCs w:val="32"/>
        </w:rPr>
        <w:t>绩效指标：研发新节目，打造品牌活动；媒体识别度和影响力进一步提升，收听收看群体扩大；广告创收任务完成。</w:t>
      </w:r>
    </w:p>
    <w:p w14:paraId="7C4EB92E">
      <w:pPr>
        <w:pStyle w:val="9"/>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、广播影视节目制作能力建设</w:t>
      </w:r>
    </w:p>
    <w:p w14:paraId="7749CF8A">
      <w:pPr>
        <w:pStyle w:val="9"/>
        <w:rPr>
          <w:rFonts w:ascii="仿宋" w:hAnsi="仿宋" w:eastAsia="仿宋"/>
          <w:sz w:val="32"/>
          <w:szCs w:val="32"/>
        </w:rPr>
      </w:pPr>
      <w:r>
        <w:rPr>
          <w:rFonts w:hint="eastAsia" w:ascii="仿宋" w:hAnsi="仿宋" w:eastAsia="仿宋" w:cs="仿宋"/>
          <w:sz w:val="32"/>
          <w:szCs w:val="32"/>
        </w:rPr>
        <w:t>绩效目标：保障安全优质播出，扩大广播电视节目覆盖，全台数</w:t>
      </w:r>
      <w:r>
        <w:rPr>
          <w:rFonts w:ascii="仿宋" w:hAnsi="仿宋" w:eastAsia="仿宋" w:cs="仿宋"/>
          <w:sz w:val="32"/>
          <w:szCs w:val="32"/>
        </w:rPr>
        <w:t xml:space="preserve"> </w:t>
      </w:r>
      <w:r>
        <w:rPr>
          <w:rFonts w:hint="eastAsia" w:ascii="仿宋" w:hAnsi="仿宋" w:eastAsia="仿宋" w:cs="仿宋"/>
          <w:sz w:val="32"/>
          <w:szCs w:val="32"/>
        </w:rPr>
        <w:t>字化，高清化发展程度。</w:t>
      </w:r>
    </w:p>
    <w:p w14:paraId="26097E03">
      <w:pPr>
        <w:pStyle w:val="9"/>
        <w:rPr>
          <w:rFonts w:ascii="仿宋" w:hAnsi="仿宋" w:eastAsia="仿宋"/>
          <w:sz w:val="32"/>
          <w:szCs w:val="32"/>
        </w:rPr>
      </w:pPr>
      <w:r>
        <w:rPr>
          <w:rFonts w:hint="eastAsia" w:ascii="仿宋" w:hAnsi="仿宋" w:eastAsia="仿宋" w:cs="仿宋"/>
          <w:sz w:val="32"/>
          <w:szCs w:val="32"/>
        </w:rPr>
        <w:t>绩效指标：低故障率</w:t>
      </w:r>
    </w:p>
    <w:p w14:paraId="31F8E558">
      <w:pPr>
        <w:pStyle w:val="9"/>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、新闻出版广播影视产业发展</w:t>
      </w:r>
    </w:p>
    <w:p w14:paraId="6F53F94A">
      <w:pPr>
        <w:pStyle w:val="9"/>
        <w:rPr>
          <w:rFonts w:ascii="仿宋" w:hAnsi="仿宋" w:eastAsia="仿宋"/>
          <w:sz w:val="32"/>
          <w:szCs w:val="32"/>
        </w:rPr>
      </w:pPr>
      <w:r>
        <w:rPr>
          <w:rFonts w:hint="eastAsia" w:ascii="仿宋" w:hAnsi="仿宋" w:eastAsia="仿宋" w:cs="仿宋"/>
          <w:sz w:val="32"/>
          <w:szCs w:val="32"/>
        </w:rPr>
        <w:t>绩效目标：指导、协调产业项目开展，推动</w:t>
      </w:r>
      <w:r>
        <w:rPr>
          <w:rFonts w:ascii="仿宋" w:hAnsi="仿宋" w:eastAsia="仿宋" w:cs="仿宋"/>
          <w:sz w:val="32"/>
          <w:szCs w:val="32"/>
        </w:rPr>
        <w:t>IPTV</w:t>
      </w:r>
      <w:r>
        <w:rPr>
          <w:rFonts w:hint="eastAsia" w:ascii="仿宋" w:hAnsi="仿宋" w:eastAsia="仿宋" w:cs="仿宋"/>
          <w:sz w:val="32"/>
          <w:szCs w:val="32"/>
        </w:rPr>
        <w:t>播控平台功能完善工作，监督、指导相关单位在全县全面推开</w:t>
      </w:r>
      <w:r>
        <w:rPr>
          <w:rFonts w:ascii="仿宋" w:hAnsi="仿宋" w:eastAsia="仿宋" w:cs="仿宋"/>
          <w:sz w:val="32"/>
          <w:szCs w:val="32"/>
        </w:rPr>
        <w:t>IPTV</w:t>
      </w:r>
      <w:r>
        <w:rPr>
          <w:rFonts w:hint="eastAsia" w:ascii="仿宋" w:hAnsi="仿宋" w:eastAsia="仿宋" w:cs="仿宋"/>
          <w:sz w:val="32"/>
          <w:szCs w:val="32"/>
        </w:rPr>
        <w:t>业务。</w:t>
      </w:r>
    </w:p>
    <w:p w14:paraId="3CB5136A">
      <w:pPr>
        <w:pStyle w:val="9"/>
        <w:rPr>
          <w:rFonts w:ascii="仿宋" w:hAnsi="仿宋" w:eastAsia="仿宋"/>
          <w:sz w:val="32"/>
          <w:szCs w:val="32"/>
        </w:rPr>
      </w:pPr>
      <w:r>
        <w:rPr>
          <w:rFonts w:hint="eastAsia" w:ascii="仿宋" w:hAnsi="仿宋" w:eastAsia="仿宋" w:cs="仿宋"/>
          <w:sz w:val="32"/>
          <w:szCs w:val="32"/>
        </w:rPr>
        <w:t>绩效指标：使广播电视产业不断发展壮大。</w:t>
      </w:r>
    </w:p>
    <w:p w14:paraId="3D28AA02">
      <w:pPr>
        <w:spacing w:line="560" w:lineRule="exact"/>
        <w:rPr>
          <w:rFonts w:ascii="黑体" w:hAnsi="黑体" w:eastAsia="黑体"/>
          <w:sz w:val="32"/>
          <w:szCs w:val="32"/>
        </w:rPr>
      </w:pPr>
      <w:r>
        <w:rPr>
          <w:rFonts w:hint="eastAsia" w:ascii="黑体" w:hAnsi="黑体" w:eastAsia="黑体" w:cs="黑体"/>
          <w:sz w:val="32"/>
          <w:szCs w:val="32"/>
        </w:rPr>
        <w:t>四、评价结论和评价等级</w:t>
      </w:r>
    </w:p>
    <w:p w14:paraId="7CF6F0F2">
      <w:pPr>
        <w:spacing w:line="560" w:lineRule="exact"/>
        <w:ind w:firstLine="640" w:firstLineChars="200"/>
        <w:rPr>
          <w:rFonts w:ascii="仿宋" w:hAnsi="仿宋" w:eastAsia="仿宋"/>
          <w:sz w:val="32"/>
          <w:szCs w:val="32"/>
        </w:rPr>
      </w:pPr>
      <w:r>
        <w:rPr>
          <w:rFonts w:hint="eastAsia" w:ascii="仿宋" w:hAnsi="仿宋" w:eastAsia="仿宋" w:cs="仿宋"/>
          <w:sz w:val="32"/>
          <w:szCs w:val="32"/>
        </w:rPr>
        <w:t>从上述绩效指标实现程度可以看出，</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年元氏县融媒体中心总体绩效目标、各分项绩效目标及绩效指标均圆满完成或超额完成。整体支出绩效自评结果为优秀等级。</w:t>
      </w:r>
    </w:p>
    <w:p w14:paraId="39680192">
      <w:pPr>
        <w:spacing w:line="560" w:lineRule="exact"/>
        <w:ind w:firstLine="640" w:firstLineChars="200"/>
        <w:rPr>
          <w:rFonts w:ascii="黑体" w:hAnsi="黑体" w:eastAsia="黑体"/>
          <w:sz w:val="32"/>
          <w:szCs w:val="32"/>
        </w:rPr>
      </w:pPr>
      <w:r>
        <w:rPr>
          <w:rFonts w:hint="eastAsia" w:ascii="黑体" w:hAnsi="黑体" w:eastAsia="黑体" w:cs="黑体"/>
          <w:sz w:val="32"/>
          <w:szCs w:val="32"/>
        </w:rPr>
        <w:t>五、存在的问题及改进措施</w:t>
      </w:r>
    </w:p>
    <w:p w14:paraId="3FC24521">
      <w:pPr>
        <w:spacing w:line="560" w:lineRule="exact"/>
        <w:ind w:firstLine="643" w:firstLineChars="200"/>
        <w:rPr>
          <w:rFonts w:ascii="仿宋" w:hAnsi="仿宋" w:eastAsia="仿宋"/>
          <w:sz w:val="32"/>
          <w:szCs w:val="32"/>
        </w:rPr>
      </w:pPr>
      <w:r>
        <w:rPr>
          <w:rFonts w:hint="eastAsia" w:ascii="仿宋" w:hAnsi="仿宋" w:eastAsia="仿宋" w:cs="仿宋"/>
          <w:b/>
          <w:bCs/>
          <w:sz w:val="32"/>
          <w:szCs w:val="32"/>
        </w:rPr>
        <w:t>建议</w:t>
      </w:r>
      <w:r>
        <w:rPr>
          <w:rFonts w:hint="eastAsia" w:ascii="仿宋" w:hAnsi="仿宋" w:eastAsia="仿宋" w:cs="仿宋"/>
          <w:sz w:val="32"/>
          <w:szCs w:val="32"/>
        </w:rPr>
        <w:t>：县财政加大对电视台工作的资金支持力度，强化整体支出绩效管理，提升电视台整体形象，让县委、县政府的政策高效、快速、准确传送到千家万户。</w:t>
      </w:r>
    </w:p>
    <w:p w14:paraId="37D86E9F">
      <w:pPr>
        <w:spacing w:line="560" w:lineRule="exact"/>
        <w:ind w:firstLine="643" w:firstLineChars="200"/>
        <w:rPr>
          <w:rFonts w:ascii="仿宋" w:hAnsi="仿宋" w:eastAsia="仿宋"/>
          <w:sz w:val="32"/>
          <w:szCs w:val="32"/>
        </w:rPr>
      </w:pPr>
      <w:r>
        <w:rPr>
          <w:rFonts w:hint="eastAsia" w:ascii="仿宋" w:hAnsi="仿宋" w:eastAsia="仿宋" w:cs="仿宋"/>
          <w:b/>
          <w:bCs/>
          <w:sz w:val="32"/>
          <w:szCs w:val="32"/>
        </w:rPr>
        <w:t>改进措施</w:t>
      </w:r>
      <w:r>
        <w:rPr>
          <w:rFonts w:hint="eastAsia" w:ascii="仿宋" w:hAnsi="仿宋" w:eastAsia="仿宋" w:cs="仿宋"/>
          <w:sz w:val="32"/>
          <w:szCs w:val="32"/>
        </w:rPr>
        <w:t>：一是加强绩效目标的刚性约束，把绩效评价</w:t>
      </w:r>
    </w:p>
    <w:p w14:paraId="44F2D770">
      <w:pPr>
        <w:spacing w:line="560" w:lineRule="exact"/>
        <w:rPr>
          <w:rFonts w:ascii="仿宋" w:hAnsi="仿宋" w:eastAsia="仿宋"/>
          <w:sz w:val="32"/>
          <w:szCs w:val="32"/>
        </w:rPr>
      </w:pPr>
      <w:r>
        <w:rPr>
          <w:rFonts w:hint="eastAsia" w:ascii="仿宋" w:hAnsi="仿宋" w:eastAsia="仿宋" w:cs="仿宋"/>
          <w:sz w:val="32"/>
          <w:szCs w:val="32"/>
        </w:rPr>
        <w:t>结果作为衡量部门整体绩效目标实现情况和工作完成情况的重要依据；二是加强对绩效的全程跟踪定期对绩效目标执行情况进行跟踪分析，及时发现、解决存在的问题：三是要加强绩效评价结果应用，把绩效评价结果作为加强改进管理、调整资金支出方向和安排下一年度预算的重要依据。</w:t>
      </w:r>
    </w:p>
    <w:p w14:paraId="429F32E1">
      <w:pPr>
        <w:numPr>
          <w:ilvl w:val="0"/>
          <w:numId w:val="5"/>
        </w:numPr>
        <w:adjustRightInd w:val="0"/>
        <w:snapToGrid w:val="0"/>
        <w:spacing w:line="560" w:lineRule="exact"/>
        <w:ind w:firstLine="640" w:firstLineChars="200"/>
        <w:rPr>
          <w:rFonts w:ascii="黑体" w:hAnsi="黑体" w:eastAsia="黑体"/>
          <w:sz w:val="32"/>
          <w:szCs w:val="32"/>
        </w:rPr>
      </w:pPr>
      <w:r>
        <w:rPr>
          <w:rFonts w:hint="eastAsia" w:ascii="黑体" w:hAnsi="黑体" w:eastAsia="黑体" w:cs="黑体"/>
          <w:sz w:val="32"/>
          <w:szCs w:val="32"/>
        </w:rPr>
        <w:t>评价工作组人员名单及签字</w:t>
      </w:r>
    </w:p>
    <w:tbl>
      <w:tblPr>
        <w:tblStyle w:val="4"/>
        <w:tblpPr w:leftFromText="180" w:rightFromText="180" w:vertAnchor="text" w:horzAnchor="page" w:tblpX="1471" w:tblpY="174"/>
        <w:tblOverlap w:val="never"/>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1"/>
        <w:gridCol w:w="1286"/>
        <w:gridCol w:w="2929"/>
        <w:gridCol w:w="2155"/>
        <w:gridCol w:w="1995"/>
      </w:tblGrid>
      <w:tr w14:paraId="72B18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11C0216E">
            <w:pPr>
              <w:rPr>
                <w:rFonts w:ascii="仿宋" w:hAnsi="仿宋" w:eastAsia="仿宋"/>
                <w:sz w:val="32"/>
                <w:szCs w:val="32"/>
              </w:rPr>
            </w:pPr>
            <w:r>
              <w:rPr>
                <w:rFonts w:hint="eastAsia" w:ascii="仿宋" w:hAnsi="仿宋" w:eastAsia="仿宋" w:cs="仿宋"/>
                <w:sz w:val="32"/>
                <w:szCs w:val="32"/>
              </w:rPr>
              <w:t>序号</w:t>
            </w:r>
          </w:p>
        </w:tc>
        <w:tc>
          <w:tcPr>
            <w:tcW w:w="1286" w:type="dxa"/>
          </w:tcPr>
          <w:p w14:paraId="3BC49DDC">
            <w:pPr>
              <w:jc w:val="center"/>
              <w:rPr>
                <w:rFonts w:ascii="仿宋" w:hAnsi="仿宋" w:eastAsia="仿宋"/>
                <w:sz w:val="32"/>
                <w:szCs w:val="32"/>
              </w:rPr>
            </w:pPr>
            <w:r>
              <w:rPr>
                <w:rFonts w:hint="eastAsia" w:ascii="仿宋" w:hAnsi="仿宋" w:eastAsia="仿宋" w:cs="仿宋"/>
                <w:sz w:val="32"/>
                <w:szCs w:val="32"/>
              </w:rPr>
              <w:t>姓名</w:t>
            </w:r>
          </w:p>
        </w:tc>
        <w:tc>
          <w:tcPr>
            <w:tcW w:w="2929" w:type="dxa"/>
          </w:tcPr>
          <w:p w14:paraId="00A896C8">
            <w:pPr>
              <w:jc w:val="center"/>
              <w:rPr>
                <w:rFonts w:ascii="仿宋" w:hAnsi="仿宋" w:eastAsia="仿宋"/>
                <w:sz w:val="32"/>
                <w:szCs w:val="32"/>
              </w:rPr>
            </w:pPr>
            <w:r>
              <w:rPr>
                <w:rFonts w:hint="eastAsia" w:ascii="仿宋" w:hAnsi="仿宋" w:eastAsia="仿宋" w:cs="仿宋"/>
                <w:sz w:val="32"/>
                <w:szCs w:val="32"/>
              </w:rPr>
              <w:t>工作单位</w:t>
            </w:r>
          </w:p>
        </w:tc>
        <w:tc>
          <w:tcPr>
            <w:tcW w:w="2155" w:type="dxa"/>
          </w:tcPr>
          <w:p w14:paraId="2E26F650">
            <w:pPr>
              <w:jc w:val="center"/>
              <w:rPr>
                <w:rFonts w:ascii="仿宋" w:hAnsi="仿宋" w:eastAsia="仿宋"/>
                <w:sz w:val="32"/>
                <w:szCs w:val="32"/>
              </w:rPr>
            </w:pPr>
            <w:r>
              <w:rPr>
                <w:rFonts w:hint="eastAsia" w:ascii="仿宋" w:hAnsi="仿宋" w:eastAsia="仿宋" w:cs="仿宋"/>
                <w:sz w:val="32"/>
                <w:szCs w:val="32"/>
              </w:rPr>
              <w:t>职务</w:t>
            </w:r>
          </w:p>
        </w:tc>
        <w:tc>
          <w:tcPr>
            <w:tcW w:w="1995" w:type="dxa"/>
          </w:tcPr>
          <w:p w14:paraId="2D670C5A">
            <w:pPr>
              <w:jc w:val="center"/>
              <w:rPr>
                <w:rFonts w:ascii="仿宋" w:hAnsi="仿宋" w:eastAsia="仿宋"/>
                <w:sz w:val="32"/>
                <w:szCs w:val="32"/>
              </w:rPr>
            </w:pPr>
            <w:r>
              <w:rPr>
                <w:rFonts w:hint="eastAsia" w:ascii="仿宋" w:hAnsi="仿宋" w:eastAsia="仿宋" w:cs="仿宋"/>
                <w:sz w:val="32"/>
                <w:szCs w:val="32"/>
              </w:rPr>
              <w:t>签名</w:t>
            </w:r>
          </w:p>
        </w:tc>
      </w:tr>
      <w:tr w14:paraId="3D7AA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6507081C">
            <w:pPr>
              <w:jc w:val="center"/>
              <w:rPr>
                <w:rFonts w:ascii="仿宋" w:hAnsi="仿宋" w:eastAsia="仿宋" w:cs="仿宋"/>
                <w:sz w:val="32"/>
                <w:szCs w:val="32"/>
              </w:rPr>
            </w:pPr>
            <w:r>
              <w:rPr>
                <w:rFonts w:ascii="仿宋" w:hAnsi="仿宋" w:eastAsia="仿宋" w:cs="仿宋"/>
                <w:sz w:val="32"/>
                <w:szCs w:val="32"/>
              </w:rPr>
              <w:t>1</w:t>
            </w:r>
          </w:p>
        </w:tc>
        <w:tc>
          <w:tcPr>
            <w:tcW w:w="1286" w:type="dxa"/>
          </w:tcPr>
          <w:p w14:paraId="16290E2F">
            <w:pPr>
              <w:jc w:val="center"/>
              <w:rPr>
                <w:rFonts w:ascii="仿宋" w:hAnsi="仿宋" w:eastAsia="仿宋"/>
                <w:sz w:val="32"/>
                <w:szCs w:val="32"/>
              </w:rPr>
            </w:pPr>
            <w:r>
              <w:rPr>
                <w:rFonts w:hint="eastAsia" w:ascii="仿宋" w:hAnsi="仿宋" w:eastAsia="仿宋" w:cs="仿宋"/>
                <w:sz w:val="32"/>
                <w:szCs w:val="32"/>
              </w:rPr>
              <w:t>刘清杰</w:t>
            </w:r>
          </w:p>
        </w:tc>
        <w:tc>
          <w:tcPr>
            <w:tcW w:w="2929" w:type="dxa"/>
          </w:tcPr>
          <w:p w14:paraId="09F24A8E">
            <w:pPr>
              <w:jc w:val="center"/>
              <w:rPr>
                <w:rFonts w:ascii="仿宋" w:hAnsi="仿宋" w:eastAsia="仿宋"/>
                <w:sz w:val="32"/>
                <w:szCs w:val="32"/>
              </w:rPr>
            </w:pPr>
            <w:r>
              <w:rPr>
                <w:rFonts w:hint="eastAsia" w:ascii="仿宋" w:hAnsi="仿宋" w:eastAsia="仿宋" w:cs="仿宋"/>
                <w:sz w:val="32"/>
                <w:szCs w:val="32"/>
              </w:rPr>
              <w:t>元氏县融媒体中心</w:t>
            </w:r>
          </w:p>
        </w:tc>
        <w:tc>
          <w:tcPr>
            <w:tcW w:w="2155" w:type="dxa"/>
          </w:tcPr>
          <w:p w14:paraId="4AC47D5C">
            <w:pPr>
              <w:jc w:val="center"/>
              <w:rPr>
                <w:rFonts w:ascii="仿宋" w:hAnsi="仿宋" w:eastAsia="仿宋"/>
                <w:sz w:val="32"/>
                <w:szCs w:val="32"/>
              </w:rPr>
            </w:pPr>
            <w:r>
              <w:rPr>
                <w:rFonts w:hint="eastAsia" w:ascii="仿宋" w:hAnsi="仿宋" w:eastAsia="仿宋" w:cs="仿宋"/>
                <w:sz w:val="32"/>
                <w:szCs w:val="32"/>
              </w:rPr>
              <w:t>台长</w:t>
            </w:r>
          </w:p>
        </w:tc>
        <w:tc>
          <w:tcPr>
            <w:tcW w:w="1995" w:type="dxa"/>
          </w:tcPr>
          <w:p w14:paraId="4EAC5A26">
            <w:pPr>
              <w:jc w:val="center"/>
              <w:rPr>
                <w:rFonts w:ascii="仿宋" w:hAnsi="仿宋" w:eastAsia="仿宋"/>
                <w:sz w:val="32"/>
                <w:szCs w:val="32"/>
              </w:rPr>
            </w:pPr>
          </w:p>
        </w:tc>
      </w:tr>
      <w:tr w14:paraId="7630E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46DAABAC">
            <w:pPr>
              <w:jc w:val="center"/>
              <w:rPr>
                <w:rFonts w:ascii="仿宋" w:hAnsi="仿宋" w:eastAsia="仿宋" w:cs="仿宋"/>
                <w:sz w:val="32"/>
                <w:szCs w:val="32"/>
              </w:rPr>
            </w:pPr>
            <w:r>
              <w:rPr>
                <w:rFonts w:ascii="仿宋" w:hAnsi="仿宋" w:eastAsia="仿宋" w:cs="仿宋"/>
                <w:sz w:val="32"/>
                <w:szCs w:val="32"/>
              </w:rPr>
              <w:t>2</w:t>
            </w:r>
          </w:p>
        </w:tc>
        <w:tc>
          <w:tcPr>
            <w:tcW w:w="1286" w:type="dxa"/>
          </w:tcPr>
          <w:p w14:paraId="09C2B57E">
            <w:pPr>
              <w:jc w:val="center"/>
              <w:rPr>
                <w:rFonts w:ascii="仿宋" w:hAnsi="仿宋" w:eastAsia="仿宋"/>
                <w:sz w:val="32"/>
                <w:szCs w:val="32"/>
              </w:rPr>
            </w:pPr>
            <w:r>
              <w:rPr>
                <w:rFonts w:hint="eastAsia" w:ascii="仿宋" w:hAnsi="仿宋" w:eastAsia="仿宋" w:cs="仿宋"/>
                <w:sz w:val="32"/>
                <w:szCs w:val="32"/>
              </w:rPr>
              <w:t>牛志涛</w:t>
            </w:r>
          </w:p>
        </w:tc>
        <w:tc>
          <w:tcPr>
            <w:tcW w:w="2929" w:type="dxa"/>
          </w:tcPr>
          <w:p w14:paraId="32687345">
            <w:pPr>
              <w:jc w:val="center"/>
              <w:rPr>
                <w:rFonts w:ascii="仿宋" w:hAnsi="仿宋" w:eastAsia="仿宋"/>
                <w:sz w:val="32"/>
                <w:szCs w:val="32"/>
              </w:rPr>
            </w:pPr>
            <w:r>
              <w:rPr>
                <w:rFonts w:hint="eastAsia" w:ascii="仿宋" w:hAnsi="仿宋" w:eastAsia="仿宋" w:cs="仿宋"/>
                <w:sz w:val="32"/>
                <w:szCs w:val="32"/>
              </w:rPr>
              <w:t>元氏县融媒体中心</w:t>
            </w:r>
          </w:p>
        </w:tc>
        <w:tc>
          <w:tcPr>
            <w:tcW w:w="2155" w:type="dxa"/>
          </w:tcPr>
          <w:p w14:paraId="50E95B60">
            <w:pPr>
              <w:jc w:val="center"/>
              <w:rPr>
                <w:rFonts w:ascii="仿宋" w:hAnsi="仿宋" w:eastAsia="仿宋"/>
                <w:sz w:val="32"/>
                <w:szCs w:val="32"/>
              </w:rPr>
            </w:pPr>
            <w:r>
              <w:rPr>
                <w:rFonts w:hint="eastAsia" w:ascii="仿宋" w:hAnsi="仿宋" w:eastAsia="仿宋" w:cs="仿宋"/>
                <w:sz w:val="32"/>
                <w:szCs w:val="32"/>
              </w:rPr>
              <w:t>办公室主任</w:t>
            </w:r>
          </w:p>
        </w:tc>
        <w:tc>
          <w:tcPr>
            <w:tcW w:w="1995" w:type="dxa"/>
          </w:tcPr>
          <w:p w14:paraId="7FF3F2D7">
            <w:pPr>
              <w:jc w:val="center"/>
              <w:rPr>
                <w:rFonts w:ascii="仿宋" w:hAnsi="仿宋" w:eastAsia="仿宋"/>
                <w:sz w:val="32"/>
                <w:szCs w:val="32"/>
              </w:rPr>
            </w:pPr>
          </w:p>
        </w:tc>
      </w:tr>
      <w:tr w14:paraId="484D6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2090E50D">
            <w:pPr>
              <w:jc w:val="center"/>
              <w:rPr>
                <w:rFonts w:ascii="仿宋" w:hAnsi="仿宋" w:eastAsia="仿宋" w:cs="仿宋"/>
                <w:sz w:val="32"/>
                <w:szCs w:val="32"/>
              </w:rPr>
            </w:pPr>
            <w:r>
              <w:rPr>
                <w:rFonts w:ascii="仿宋" w:hAnsi="仿宋" w:eastAsia="仿宋" w:cs="仿宋"/>
                <w:sz w:val="32"/>
                <w:szCs w:val="32"/>
              </w:rPr>
              <w:t>3</w:t>
            </w:r>
          </w:p>
        </w:tc>
        <w:tc>
          <w:tcPr>
            <w:tcW w:w="1286" w:type="dxa"/>
          </w:tcPr>
          <w:p w14:paraId="6E5D089A">
            <w:pPr>
              <w:jc w:val="center"/>
              <w:rPr>
                <w:rFonts w:ascii="仿宋" w:hAnsi="仿宋" w:eastAsia="仿宋"/>
                <w:sz w:val="32"/>
                <w:szCs w:val="32"/>
              </w:rPr>
            </w:pPr>
            <w:r>
              <w:rPr>
                <w:rFonts w:hint="eastAsia" w:ascii="仿宋" w:hAnsi="仿宋" w:eastAsia="仿宋" w:cs="仿宋"/>
                <w:sz w:val="32"/>
                <w:szCs w:val="32"/>
              </w:rPr>
              <w:t>苏克非</w:t>
            </w:r>
          </w:p>
        </w:tc>
        <w:tc>
          <w:tcPr>
            <w:tcW w:w="2929" w:type="dxa"/>
          </w:tcPr>
          <w:p w14:paraId="628CFBDB">
            <w:pPr>
              <w:jc w:val="center"/>
              <w:rPr>
                <w:rFonts w:ascii="仿宋" w:hAnsi="仿宋" w:eastAsia="仿宋"/>
                <w:sz w:val="32"/>
                <w:szCs w:val="32"/>
              </w:rPr>
            </w:pPr>
            <w:r>
              <w:rPr>
                <w:rFonts w:hint="eastAsia" w:ascii="仿宋" w:hAnsi="仿宋" w:eastAsia="仿宋" w:cs="仿宋"/>
                <w:sz w:val="32"/>
                <w:szCs w:val="32"/>
              </w:rPr>
              <w:t>元氏县融媒体中心</w:t>
            </w:r>
          </w:p>
        </w:tc>
        <w:tc>
          <w:tcPr>
            <w:tcW w:w="2155" w:type="dxa"/>
          </w:tcPr>
          <w:p w14:paraId="29B9B66B">
            <w:pPr>
              <w:jc w:val="center"/>
              <w:rPr>
                <w:rFonts w:ascii="仿宋" w:hAnsi="仿宋" w:eastAsia="仿宋"/>
                <w:sz w:val="32"/>
                <w:szCs w:val="32"/>
              </w:rPr>
            </w:pPr>
            <w:r>
              <w:rPr>
                <w:rFonts w:hint="eastAsia" w:ascii="仿宋" w:hAnsi="仿宋" w:eastAsia="仿宋" w:cs="仿宋"/>
                <w:sz w:val="32"/>
                <w:szCs w:val="32"/>
              </w:rPr>
              <w:t>财务</w:t>
            </w:r>
          </w:p>
        </w:tc>
        <w:tc>
          <w:tcPr>
            <w:tcW w:w="1995" w:type="dxa"/>
          </w:tcPr>
          <w:p w14:paraId="537A4C7E">
            <w:pPr>
              <w:jc w:val="center"/>
              <w:rPr>
                <w:rFonts w:ascii="仿宋" w:hAnsi="仿宋" w:eastAsia="仿宋"/>
                <w:sz w:val="32"/>
                <w:szCs w:val="32"/>
              </w:rPr>
            </w:pPr>
          </w:p>
        </w:tc>
      </w:tr>
    </w:tbl>
    <w:p w14:paraId="1D0A7DA8">
      <w:pPr>
        <w:rPr>
          <w:rFonts w:ascii="黑体" w:hAnsi="黑体" w:eastAsia="黑体"/>
          <w:sz w:val="32"/>
          <w:szCs w:val="32"/>
        </w:rPr>
      </w:pPr>
    </w:p>
    <w:sectPr>
      <w:pgSz w:w="11906" w:h="16838"/>
      <w:pgMar w:top="1440" w:right="1633" w:bottom="1440" w:left="1633" w:header="851" w:footer="992" w:gutter="0"/>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_GBK">
    <w:altName w:val="Times New Roman"/>
    <w:panose1 w:val="00000000000000000000"/>
    <w:charset w:val="00"/>
    <w:family w:val="auto"/>
    <w:pitch w:val="default"/>
    <w:sig w:usb0="00000000" w:usb1="00000000" w:usb2="00000000" w:usb3="00000000" w:csb0="00000001"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BBD725"/>
    <w:multiLevelType w:val="singleLevel"/>
    <w:tmpl w:val="FEBBD725"/>
    <w:lvl w:ilvl="0" w:tentative="0">
      <w:start w:val="6"/>
      <w:numFmt w:val="chineseCounting"/>
      <w:suff w:val="nothing"/>
      <w:lvlText w:val="%1、"/>
      <w:lvlJc w:val="left"/>
      <w:rPr>
        <w:rFonts w:hint="eastAsia"/>
      </w:rPr>
    </w:lvl>
  </w:abstractNum>
  <w:abstractNum w:abstractNumId="1">
    <w:nsid w:val="FF3C5184"/>
    <w:multiLevelType w:val="singleLevel"/>
    <w:tmpl w:val="FF3C5184"/>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pPr>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abstractNum w:abstractNumId="4">
    <w:nsid w:val="71CD58BD"/>
    <w:multiLevelType w:val="singleLevel"/>
    <w:tmpl w:val="71CD58BD"/>
    <w:lvl w:ilvl="0" w:tentative="0">
      <w:start w:val="2"/>
      <w:numFmt w:val="decimal"/>
      <w:suff w:val="nothing"/>
      <w:lvlText w:val="%1．"/>
      <w:lvlJc w:val="left"/>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oNotHyphenateCaps/>
  <w:drawingGridVerticalSpacing w:val="159"/>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dkZTU5MWFhM2YxYzNhNjY1ZjU1YWQ0OWZiMDZkNDAifQ=="/>
  </w:docVars>
  <w:rsids>
    <w:rsidRoot w:val="39F42E7E"/>
    <w:rsid w:val="000C3FC8"/>
    <w:rsid w:val="00144581"/>
    <w:rsid w:val="001D715E"/>
    <w:rsid w:val="00782C46"/>
    <w:rsid w:val="00864E3D"/>
    <w:rsid w:val="00D003F7"/>
    <w:rsid w:val="01562149"/>
    <w:rsid w:val="032B659F"/>
    <w:rsid w:val="039C28C1"/>
    <w:rsid w:val="044C4332"/>
    <w:rsid w:val="07746E01"/>
    <w:rsid w:val="0A8E01DA"/>
    <w:rsid w:val="0E1E2C3E"/>
    <w:rsid w:val="12E55A06"/>
    <w:rsid w:val="16285433"/>
    <w:rsid w:val="17356C71"/>
    <w:rsid w:val="190A7BB1"/>
    <w:rsid w:val="1A6A13C2"/>
    <w:rsid w:val="206039AD"/>
    <w:rsid w:val="215E4E83"/>
    <w:rsid w:val="22F96742"/>
    <w:rsid w:val="23524FDD"/>
    <w:rsid w:val="274C55B3"/>
    <w:rsid w:val="29BD7ACB"/>
    <w:rsid w:val="2ACB16C0"/>
    <w:rsid w:val="2B620B9B"/>
    <w:rsid w:val="2BE367BB"/>
    <w:rsid w:val="2E254102"/>
    <w:rsid w:val="2F676B0D"/>
    <w:rsid w:val="30966267"/>
    <w:rsid w:val="32096846"/>
    <w:rsid w:val="332A151B"/>
    <w:rsid w:val="34A2775E"/>
    <w:rsid w:val="34CC6EC3"/>
    <w:rsid w:val="37051B9A"/>
    <w:rsid w:val="382C6F09"/>
    <w:rsid w:val="396F07B8"/>
    <w:rsid w:val="39F42E7E"/>
    <w:rsid w:val="3AFE4819"/>
    <w:rsid w:val="3B7901B9"/>
    <w:rsid w:val="3E417F42"/>
    <w:rsid w:val="3EE81B11"/>
    <w:rsid w:val="432D3318"/>
    <w:rsid w:val="45DF0B70"/>
    <w:rsid w:val="46A7492C"/>
    <w:rsid w:val="48C33914"/>
    <w:rsid w:val="4ABC0F2E"/>
    <w:rsid w:val="50836D3A"/>
    <w:rsid w:val="536870AC"/>
    <w:rsid w:val="541B5EDA"/>
    <w:rsid w:val="543A3797"/>
    <w:rsid w:val="579C5440"/>
    <w:rsid w:val="5BB47057"/>
    <w:rsid w:val="5BEE3863"/>
    <w:rsid w:val="5EF71F58"/>
    <w:rsid w:val="6118527D"/>
    <w:rsid w:val="619743F4"/>
    <w:rsid w:val="63057B78"/>
    <w:rsid w:val="639A4B68"/>
    <w:rsid w:val="64003DD9"/>
    <w:rsid w:val="65967417"/>
    <w:rsid w:val="66403F91"/>
    <w:rsid w:val="66BB6DD6"/>
    <w:rsid w:val="695F4EBD"/>
    <w:rsid w:val="6CC235F1"/>
    <w:rsid w:val="6DC20A4A"/>
    <w:rsid w:val="6EA66F12"/>
    <w:rsid w:val="6EBF5167"/>
    <w:rsid w:val="74D86DA5"/>
    <w:rsid w:val="74D923D9"/>
    <w:rsid w:val="763D6A0D"/>
    <w:rsid w:val="786C656F"/>
    <w:rsid w:val="79524E2C"/>
    <w:rsid w:val="7AD91549"/>
    <w:rsid w:val="7D414329"/>
    <w:rsid w:val="7DAD14C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qFormat="1" w:unhideWhenUsed="0" w:uiPriority="99" w:semiHidden="0"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Note Heading"/>
    <w:basedOn w:val="1"/>
    <w:next w:val="1"/>
    <w:link w:val="7"/>
    <w:qFormat/>
    <w:uiPriority w:val="99"/>
    <w:pPr>
      <w:jc w:val="center"/>
    </w:pPr>
  </w:style>
  <w:style w:type="paragraph" w:styleId="3">
    <w:name w:val="Normal (Web)"/>
    <w:basedOn w:val="1"/>
    <w:qFormat/>
    <w:uiPriority w:val="99"/>
    <w:pPr>
      <w:spacing w:beforeAutospacing="1" w:afterAutospacing="1"/>
      <w:jc w:val="left"/>
    </w:pPr>
    <w:rPr>
      <w:kern w:val="0"/>
      <w:sz w:val="24"/>
      <w:szCs w:val="24"/>
    </w:rPr>
  </w:style>
  <w:style w:type="table" w:styleId="5">
    <w:name w:val="Table Grid"/>
    <w:basedOn w:val="4"/>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Note Heading Char"/>
    <w:basedOn w:val="6"/>
    <w:link w:val="2"/>
    <w:semiHidden/>
    <w:qFormat/>
    <w:uiPriority w:val="99"/>
    <w:rPr>
      <w:szCs w:val="21"/>
    </w:rPr>
  </w:style>
  <w:style w:type="paragraph" w:customStyle="1" w:styleId="8">
    <w:name w:val="插入文本样式-插入总体目标文件"/>
    <w:basedOn w:val="1"/>
    <w:qFormat/>
    <w:uiPriority w:val="99"/>
    <w:pPr>
      <w:spacing w:line="500" w:lineRule="exact"/>
      <w:ind w:firstLine="560"/>
      <w:jc w:val="left"/>
    </w:pPr>
    <w:rPr>
      <w:sz w:val="28"/>
      <w:szCs w:val="28"/>
    </w:rPr>
  </w:style>
  <w:style w:type="paragraph" w:customStyle="1" w:styleId="9">
    <w:name w:val="插入文本样式-插入职责分类绩效目标文件"/>
    <w:basedOn w:val="1"/>
    <w:qFormat/>
    <w:uiPriority w:val="99"/>
    <w:pPr>
      <w:spacing w:line="500" w:lineRule="exact"/>
      <w:ind w:firstLine="560"/>
      <w:jc w:val="left"/>
    </w:pPr>
    <w:rPr>
      <w:sz w:val="28"/>
      <w:szCs w:val="28"/>
    </w:rPr>
  </w:style>
  <w:style w:type="paragraph" w:customStyle="1" w:styleId="10">
    <w:name w:val="插入文本样式-插入部门职责文件"/>
    <w:basedOn w:val="1"/>
    <w:qFormat/>
    <w:uiPriority w:val="99"/>
    <w:pPr>
      <w:spacing w:line="500" w:lineRule="exact"/>
      <w:ind w:firstLine="560"/>
      <w:jc w:val="left"/>
    </w:pPr>
    <w:rPr>
      <w:sz w:val="28"/>
      <w:szCs w:val="28"/>
    </w:rPr>
  </w:style>
  <w:style w:type="paragraph" w:customStyle="1" w:styleId="11">
    <w:name w:val="单元格样式1"/>
    <w:basedOn w:val="1"/>
    <w:qFormat/>
    <w:uiPriority w:val="99"/>
    <w:pPr>
      <w:jc w:val="center"/>
    </w:pPr>
    <w:rPr>
      <w:rFonts w:ascii="????_GBK" w:hAnsi="????_GBK" w:cs="????_GBK"/>
      <w:b/>
      <w:bCs/>
    </w:rPr>
  </w:style>
  <w:style w:type="paragraph" w:customStyle="1" w:styleId="12">
    <w:name w:val="单元格样式2"/>
    <w:basedOn w:val="1"/>
    <w:qFormat/>
    <w:uiPriority w:val="99"/>
    <w:pPr>
      <w:jc w:val="left"/>
    </w:pPr>
    <w:rPr>
      <w:rFonts w:ascii="????_GBK" w:hAnsi="????_GBK" w:cs="????_GBK"/>
    </w:rPr>
  </w:style>
  <w:style w:type="paragraph" w:customStyle="1" w:styleId="13">
    <w:name w:val="单元格样式3"/>
    <w:basedOn w:val="1"/>
    <w:qFormat/>
    <w:uiPriority w:val="99"/>
    <w:pPr>
      <w:jc w:val="center"/>
    </w:pPr>
    <w:rPr>
      <w:rFonts w:ascii="????_GBK" w:hAnsi="????_GBK" w:cs="????_GBK"/>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ddddd</Company>
  <Pages>6</Pages>
  <Words>2619</Words>
  <Characters>2689</Characters>
  <Lines>0</Lines>
  <Paragraphs>0</Paragraphs>
  <TotalTime>56</TotalTime>
  <ScaleCrop>false</ScaleCrop>
  <LinksUpToDate>false</LinksUpToDate>
  <CharactersWithSpaces>2692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2022-04-26T02:06:00Z</dcterms:created>
  <dc:creator>Deepblue</dc:creator>
  <cp:lastModifiedBy>13323011735</cp:lastModifiedBy>
  <cp:lastPrinted>2023-04-10T03:33:00Z</cp:lastPrinted>
  <dcterms:modified xsi:type="dcterms:W3CDTF">2026-05-29T02:02:50Z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8A4223FF9BDE46B6B865247861913F8D_13</vt:lpwstr>
  </property>
  <property fmtid="{D5CDD505-2E9C-101B-9397-08002B2CF9AE}" pid="4" name="KSOTemplateDocerSaveRecord">
    <vt:lpwstr>eyJoZGlkIjoiYTJmZTRiNzExYzJhNTg1ZjI3MWQwMDQyODg0N2Q0YjkiLCJ1c2VySWQiOiIxNTUwMjQwMDk2In0=</vt:lpwstr>
  </property>
</Properties>
</file>