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97BB0">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3A9F0D4">
      <w:pPr>
        <w:spacing w:line="560" w:lineRule="exact"/>
        <w:jc w:val="center"/>
        <w:rPr>
          <w:rFonts w:ascii="宋体" w:hAnsi="宋体" w:cs="宋体"/>
          <w:b/>
          <w:bCs/>
          <w:sz w:val="44"/>
          <w:szCs w:val="44"/>
        </w:rPr>
      </w:pPr>
    </w:p>
    <w:p w14:paraId="20727866">
      <w:pPr>
        <w:spacing w:line="560" w:lineRule="exact"/>
        <w:jc w:val="center"/>
        <w:rPr>
          <w:rFonts w:ascii="宋体" w:hAnsi="宋体" w:cs="宋体"/>
          <w:b/>
          <w:bCs/>
          <w:sz w:val="44"/>
          <w:szCs w:val="44"/>
        </w:rPr>
      </w:pPr>
      <w:r>
        <w:rPr>
          <w:rFonts w:hint="eastAsia" w:ascii="宋体" w:hAnsi="宋体" w:cs="宋体"/>
          <w:b/>
          <w:bCs/>
          <w:sz w:val="44"/>
          <w:szCs w:val="44"/>
        </w:rPr>
        <w:t>元氏县文学艺术界联合会</w:t>
      </w:r>
    </w:p>
    <w:p w14:paraId="4D31778B">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2A90DA0">
      <w:pPr>
        <w:spacing w:line="560" w:lineRule="exact"/>
        <w:jc w:val="center"/>
        <w:rPr>
          <w:rFonts w:ascii="华文楷体" w:eastAsia="华文楷体"/>
          <w:sz w:val="32"/>
          <w:szCs w:val="32"/>
        </w:rPr>
      </w:pPr>
    </w:p>
    <w:p w14:paraId="49BA4F57">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_GB2312" w:hAnsi="仿宋" w:eastAsia="仿宋_GB2312" w:cs="Times New Roman"/>
          <w:sz w:val="32"/>
          <w:szCs w:val="32"/>
        </w:rPr>
        <w:t>贯彻落实县委县政府《关于全面落实预算绩效管理的实施意见》（元发﹝2019﹞7号）文件精神，遵循“科学性、规范性、客观性和公正性”的原则，对元氏县文学艺术界联合会202</w:t>
      </w:r>
      <w:r>
        <w:rPr>
          <w:rFonts w:hint="eastAsia" w:ascii="仿宋_GB2312" w:hAnsi="仿宋" w:eastAsia="仿宋_GB2312" w:cs="Times New Roman"/>
          <w:sz w:val="32"/>
          <w:szCs w:val="32"/>
          <w:lang w:val="en-US" w:eastAsia="zh-CN"/>
        </w:rPr>
        <w:t>5</w:t>
      </w:r>
      <w:r>
        <w:rPr>
          <w:rFonts w:hint="eastAsia" w:ascii="仿宋_GB2312" w:hAnsi="仿宋" w:eastAsia="仿宋_GB2312" w:cs="Times New Roman"/>
          <w:sz w:val="32"/>
          <w:szCs w:val="32"/>
        </w:rPr>
        <w:t>年整体支出情况实施了财政支出绩效自评价，形成本评价报告。</w:t>
      </w:r>
    </w:p>
    <w:p w14:paraId="1D9683B4">
      <w:pPr>
        <w:keepNext w:val="0"/>
        <w:keepLines w:val="0"/>
        <w:pageBreakBefore w:val="0"/>
        <w:widowControl w:val="0"/>
        <w:kinsoku/>
        <w:wordWrap/>
        <w:overflowPunct/>
        <w:topLinePunct w:val="0"/>
        <w:autoSpaceDE/>
        <w:autoSpaceDN/>
        <w:bidi w:val="0"/>
        <w:adjustRightInd w:val="0"/>
        <w:snapToGrid w:val="0"/>
        <w:spacing w:line="58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50741F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2BCCC71B">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ascii="仿宋_GB2312" w:hAnsi="仿宋" w:eastAsia="仿宋_GB2312" w:cs="Times New Roman"/>
          <w:sz w:val="32"/>
          <w:szCs w:val="32"/>
        </w:rPr>
      </w:pPr>
      <w:r>
        <w:rPr>
          <w:rFonts w:hint="eastAsia" w:ascii="仿宋_GB2312" w:hAnsi="仿宋" w:eastAsia="仿宋_GB2312" w:cs="Times New Roman"/>
          <w:sz w:val="32"/>
          <w:szCs w:val="32"/>
        </w:rPr>
        <w:t>部门职能：</w:t>
      </w:r>
    </w:p>
    <w:p w14:paraId="238D195F">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ascii="仿宋_GB2312" w:hAnsi="仿宋" w:eastAsia="仿宋_GB2312" w:cs="Times New Roman"/>
          <w:sz w:val="32"/>
          <w:szCs w:val="32"/>
        </w:rPr>
      </w:pPr>
      <w:r>
        <w:rPr>
          <w:rFonts w:hint="eastAsia" w:ascii="仿宋_GB2312" w:hAnsi="仿宋" w:eastAsia="仿宋_GB2312" w:cs="Times New Roman"/>
          <w:sz w:val="32"/>
          <w:szCs w:val="32"/>
        </w:rPr>
        <w:t>1、</w:t>
      </w:r>
      <w:bookmarkStart w:id="0" w:name="_Hlk103259743"/>
      <w:r>
        <w:rPr>
          <w:rFonts w:hint="eastAsia" w:ascii="仿宋_GB2312" w:hAnsi="仿宋" w:eastAsia="仿宋_GB2312" w:cs="Times New Roman"/>
          <w:sz w:val="32"/>
          <w:szCs w:val="32"/>
        </w:rPr>
        <w:t>坚持以马列主义、毛泽东思想及邓小平理论为指导，</w:t>
      </w:r>
      <w:bookmarkEnd w:id="0"/>
      <w:r>
        <w:rPr>
          <w:rFonts w:hint="eastAsia" w:ascii="仿宋_GB2312" w:hAnsi="仿宋" w:eastAsia="仿宋_GB2312" w:cs="Times New Roman"/>
          <w:sz w:val="32"/>
          <w:szCs w:val="32"/>
        </w:rPr>
        <w:t>坚持“二为”方向“双百”方针，</w:t>
      </w:r>
      <w:bookmarkStart w:id="1" w:name="_Hlk103259773"/>
      <w:r>
        <w:rPr>
          <w:rFonts w:hint="eastAsia" w:ascii="仿宋_GB2312" w:hAnsi="仿宋" w:eastAsia="仿宋_GB2312" w:cs="Times New Roman"/>
          <w:sz w:val="32"/>
          <w:szCs w:val="32"/>
        </w:rPr>
        <w:t>弘扬主旋律，提倡多样化，团结全县广大文艺工作者</w:t>
      </w:r>
      <w:bookmarkEnd w:id="1"/>
      <w:r>
        <w:rPr>
          <w:rFonts w:hint="eastAsia" w:ascii="仿宋_GB2312" w:hAnsi="仿宋" w:eastAsia="仿宋_GB2312" w:cs="Times New Roman"/>
          <w:sz w:val="32"/>
          <w:szCs w:val="32"/>
        </w:rPr>
        <w:t>，努力为两个文明建设服务。</w:t>
      </w:r>
    </w:p>
    <w:p w14:paraId="4DC43EC8">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ascii="仿宋_GB2312" w:hAnsi="仿宋" w:eastAsia="仿宋_GB2312" w:cs="Times New Roman"/>
          <w:sz w:val="32"/>
          <w:szCs w:val="32"/>
        </w:rPr>
      </w:pPr>
      <w:r>
        <w:rPr>
          <w:rFonts w:hint="eastAsia" w:ascii="仿宋_GB2312" w:hAnsi="仿宋" w:eastAsia="仿宋_GB2312" w:cs="Times New Roman"/>
          <w:sz w:val="32"/>
          <w:szCs w:val="32"/>
        </w:rPr>
        <w:t>2、</w:t>
      </w:r>
      <w:bookmarkStart w:id="2" w:name="_Hlk103259802"/>
      <w:r>
        <w:rPr>
          <w:rFonts w:hint="eastAsia" w:ascii="仿宋_GB2312" w:hAnsi="仿宋" w:eastAsia="仿宋_GB2312" w:cs="Times New Roman"/>
          <w:sz w:val="32"/>
          <w:szCs w:val="32"/>
        </w:rPr>
        <w:t>组织开展各类创作和理论研究活动，出作品出人才，创作出具有时代精神又有艺术魅力的精品力作。</w:t>
      </w:r>
      <w:bookmarkEnd w:id="2"/>
    </w:p>
    <w:p w14:paraId="4502DCB2">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ascii="仿宋_GB2312" w:hAnsi="仿宋" w:eastAsia="仿宋_GB2312" w:cs="Times New Roman"/>
          <w:sz w:val="32"/>
          <w:szCs w:val="32"/>
        </w:rPr>
      </w:pPr>
      <w:r>
        <w:rPr>
          <w:rFonts w:hint="eastAsia" w:ascii="仿宋_GB2312" w:hAnsi="仿宋" w:eastAsia="仿宋_GB2312" w:cs="Times New Roman"/>
          <w:sz w:val="32"/>
          <w:szCs w:val="32"/>
        </w:rPr>
        <w:t>3、加强省、市及全国文艺界之间的广泛联系，促进国内外文化艺术的交流，实现文艺搭台、经济唱戏，为元氏经济发展作出贡献。</w:t>
      </w:r>
    </w:p>
    <w:p w14:paraId="7E17B6DE">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 w:hAnsi="仿宋" w:eastAsia="仿宋"/>
          <w:sz w:val="32"/>
          <w:szCs w:val="32"/>
        </w:rPr>
      </w:pPr>
      <w:bookmarkStart w:id="3" w:name="_Hlk102030198"/>
      <w:r>
        <w:rPr>
          <w:rFonts w:hint="eastAsia" w:ascii="仿宋" w:hAnsi="仿宋" w:eastAsia="仿宋"/>
          <w:sz w:val="32"/>
          <w:szCs w:val="32"/>
        </w:rPr>
        <w:t>组织机构及人员</w:t>
      </w:r>
      <w:bookmarkEnd w:id="3"/>
      <w:r>
        <w:rPr>
          <w:rFonts w:hint="eastAsia" w:ascii="仿宋" w:hAnsi="仿宋" w:eastAsia="仿宋"/>
          <w:sz w:val="32"/>
          <w:szCs w:val="32"/>
        </w:rPr>
        <w:t>：</w:t>
      </w:r>
    </w:p>
    <w:p w14:paraId="4015252B">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rPr>
      </w:pPr>
      <w:r>
        <w:rPr>
          <w:rFonts w:hint="eastAsia" w:ascii="仿宋_GB2312" w:hAnsi="仿宋_GB2312" w:eastAsia="仿宋_GB2312" w:cs="仿宋_GB2312"/>
          <w:i w:val="0"/>
          <w:iCs w:val="0"/>
          <w:caps w:val="0"/>
          <w:smallCaps w:val="0"/>
          <w:color w:val="000000"/>
          <w:spacing w:val="0"/>
          <w:kern w:val="0"/>
          <w:sz w:val="32"/>
          <w:szCs w:val="32"/>
          <w:lang w:val="en-US" w:eastAsia="zh-CN"/>
        </w:rPr>
        <w:t>本单位为</w:t>
      </w:r>
      <w:r>
        <w:rPr>
          <w:rFonts w:ascii="仿宋_GB2312" w:hAnsi="仿宋_GB2312" w:eastAsia="仿宋_GB2312" w:cs="仿宋_GB2312"/>
          <w:i w:val="0"/>
          <w:iCs w:val="0"/>
          <w:caps w:val="0"/>
          <w:smallCaps w:val="0"/>
          <w:color w:val="000000"/>
          <w:spacing w:val="0"/>
          <w:kern w:val="0"/>
          <w:sz w:val="32"/>
          <w:szCs w:val="32"/>
          <w:u w:val="none"/>
          <w:lang w:val="en-US" w:eastAsia="zh-CN"/>
        </w:rPr>
        <w:t>元氏县文学艺术界联合会</w:t>
      </w:r>
      <w:r>
        <w:rPr>
          <w:rFonts w:hint="eastAsia" w:ascii="仿宋_GB2312" w:hAnsi="仿宋_GB2312" w:eastAsia="仿宋_GB2312" w:cs="仿宋_GB2312"/>
          <w:i w:val="0"/>
          <w:iCs w:val="0"/>
          <w:caps w:val="0"/>
          <w:smallCaps w:val="0"/>
          <w:color w:val="000000"/>
          <w:spacing w:val="0"/>
          <w:kern w:val="0"/>
          <w:sz w:val="32"/>
          <w:szCs w:val="32"/>
          <w:lang w:val="en-US" w:eastAsia="zh-CN"/>
        </w:rPr>
        <w:t>所属</w:t>
      </w:r>
      <w:r>
        <w:rPr>
          <w:rFonts w:hint="eastAsia" w:ascii="仿宋_GB2312" w:hAnsi="仿宋_GB2312" w:eastAsia="仿宋_GB2312" w:cs="仿宋_GB2312"/>
          <w:i w:val="0"/>
          <w:iCs w:val="0"/>
          <w:caps w:val="0"/>
          <w:smallCaps w:val="0"/>
          <w:color w:val="000000"/>
          <w:spacing w:val="0"/>
          <w:kern w:val="0"/>
          <w:sz w:val="32"/>
          <w:szCs w:val="32"/>
          <w:u w:val="none"/>
          <w:lang w:val="en-US" w:eastAsia="zh-CN"/>
        </w:rPr>
        <w:t>   </w:t>
      </w:r>
      <w:r>
        <w:rPr>
          <w:rFonts w:ascii="仿宋_GB2312" w:hAnsi="仿宋_GB2312" w:eastAsia="仿宋_GB2312" w:cs="仿宋_GB2312"/>
          <w:i w:val="0"/>
          <w:iCs w:val="0"/>
          <w:caps w:val="0"/>
          <w:smallCaps w:val="0"/>
          <w:color w:val="000000"/>
          <w:spacing w:val="0"/>
          <w:kern w:val="0"/>
          <w:sz w:val="32"/>
          <w:szCs w:val="32"/>
          <w:u w:val="none"/>
          <w:lang w:val="en-US" w:eastAsia="zh-CN"/>
        </w:rPr>
        <w:t>一</w:t>
      </w:r>
      <w:r>
        <w:rPr>
          <w:rFonts w:hint="eastAsia" w:ascii="仿宋_GB2312" w:hAnsi="仿宋_GB2312" w:eastAsia="仿宋_GB2312" w:cs="仿宋_GB2312"/>
          <w:i w:val="0"/>
          <w:iCs w:val="0"/>
          <w:caps w:val="0"/>
          <w:smallCaps w:val="0"/>
          <w:color w:val="000000"/>
          <w:spacing w:val="0"/>
          <w:kern w:val="0"/>
          <w:sz w:val="32"/>
          <w:szCs w:val="32"/>
          <w:u w:val="none"/>
          <w:lang w:val="en-US" w:eastAsia="zh-CN"/>
        </w:rPr>
        <w:t>  </w:t>
      </w:r>
      <w:r>
        <w:rPr>
          <w:rFonts w:hint="eastAsia" w:ascii="仿宋_GB2312" w:hAnsi="仿宋_GB2312" w:eastAsia="仿宋_GB2312" w:cs="仿宋_GB2312"/>
          <w:i w:val="0"/>
          <w:iCs w:val="0"/>
          <w:caps w:val="0"/>
          <w:smallCaps w:val="0"/>
          <w:color w:val="000000"/>
          <w:spacing w:val="0"/>
          <w:kern w:val="0"/>
          <w:sz w:val="32"/>
          <w:szCs w:val="32"/>
          <w:lang w:val="en-US" w:eastAsia="zh-CN"/>
        </w:rPr>
        <w:t>级预算单位，单位性质为</w:t>
      </w:r>
      <w:r>
        <w:rPr>
          <w:rFonts w:ascii="仿宋_GB2312" w:hAnsi="仿宋_GB2312" w:eastAsia="仿宋_GB2312" w:cs="仿宋_GB2312"/>
          <w:i w:val="0"/>
          <w:iCs w:val="0"/>
          <w:caps w:val="0"/>
          <w:smallCaps w:val="0"/>
          <w:color w:val="000000"/>
          <w:spacing w:val="0"/>
          <w:kern w:val="0"/>
          <w:sz w:val="32"/>
          <w:szCs w:val="32"/>
          <w:u w:val="none"/>
          <w:lang w:val="en-US" w:eastAsia="zh-CN"/>
        </w:rPr>
        <w:t>全额拨款事业</w:t>
      </w:r>
      <w:r>
        <w:rPr>
          <w:rFonts w:hint="eastAsia" w:ascii="仿宋_GB2312" w:hAnsi="仿宋_GB2312" w:eastAsia="仿宋_GB2312" w:cs="仿宋_GB2312"/>
          <w:i w:val="0"/>
          <w:iCs w:val="0"/>
          <w:caps w:val="0"/>
          <w:smallCaps w:val="0"/>
          <w:color w:val="000000"/>
          <w:spacing w:val="0"/>
          <w:kern w:val="0"/>
          <w:sz w:val="32"/>
          <w:szCs w:val="32"/>
          <w:lang w:val="en-US" w:eastAsia="zh-CN"/>
        </w:rPr>
        <w:t>单位。</w:t>
      </w:r>
    </w:p>
    <w:p w14:paraId="5736AAFD">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楷体" w:hAnsi="楷体" w:eastAsia="楷体" w:cs="楷体_GB2312"/>
          <w:bCs/>
          <w:sz w:val="32"/>
          <w:szCs w:val="32"/>
        </w:rPr>
      </w:pPr>
      <w:r>
        <w:rPr>
          <w:rFonts w:hint="eastAsia" w:ascii="仿宋_GB2312" w:hAnsi="仿宋" w:eastAsia="仿宋_GB2312" w:cs="Times New Roman"/>
          <w:sz w:val="32"/>
          <w:szCs w:val="32"/>
        </w:rPr>
        <w:t>202</w:t>
      </w:r>
      <w:r>
        <w:rPr>
          <w:rFonts w:hint="eastAsia" w:ascii="仿宋_GB2312" w:hAnsi="仿宋" w:eastAsia="仿宋_GB2312" w:cs="Times New Roman"/>
          <w:sz w:val="32"/>
          <w:szCs w:val="32"/>
          <w:lang w:val="en-US" w:eastAsia="zh-CN"/>
        </w:rPr>
        <w:t>5</w:t>
      </w:r>
      <w:r>
        <w:rPr>
          <w:rFonts w:hint="eastAsia" w:ascii="仿宋_GB2312" w:hAnsi="仿宋" w:eastAsia="仿宋_GB2312" w:cs="Times New Roman"/>
          <w:sz w:val="32"/>
          <w:szCs w:val="32"/>
        </w:rPr>
        <w:t>年</w:t>
      </w:r>
      <w:r>
        <w:rPr>
          <w:rFonts w:hint="eastAsia" w:ascii="仿宋_GB2312" w:hAnsi="仿宋" w:eastAsia="仿宋_GB2312" w:cs="Times New Roman"/>
          <w:sz w:val="32"/>
          <w:szCs w:val="32"/>
          <w:lang w:val="en-US" w:eastAsia="zh-CN"/>
        </w:rPr>
        <w:t>在职5人</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退休2人</w:t>
      </w:r>
      <w:r>
        <w:rPr>
          <w:rFonts w:hint="eastAsia" w:ascii="仿宋_GB2312" w:hAnsi="仿宋" w:eastAsia="仿宋_GB2312" w:cs="Times New Roman"/>
          <w:sz w:val="32"/>
          <w:szCs w:val="32"/>
        </w:rPr>
        <w:t>。</w:t>
      </w:r>
    </w:p>
    <w:p w14:paraId="301B2C8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DB8DD45">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楷体" w:hAnsi="楷体" w:eastAsia="楷体" w:cs="楷体_GB2312"/>
          <w:bCs/>
          <w:sz w:val="32"/>
          <w:szCs w:val="32"/>
        </w:rPr>
      </w:pPr>
      <w:r>
        <w:rPr>
          <w:rFonts w:hint="eastAsia" w:ascii="仿宋_GB2312" w:hAnsi="仿宋" w:eastAsia="仿宋_GB2312" w:cs="Times New Roman"/>
          <w:sz w:val="32"/>
          <w:szCs w:val="32"/>
        </w:rPr>
        <w:t>202</w:t>
      </w:r>
      <w:r>
        <w:rPr>
          <w:rFonts w:hint="eastAsia" w:ascii="仿宋_GB2312" w:hAnsi="仿宋" w:eastAsia="仿宋_GB2312" w:cs="Times New Roman"/>
          <w:sz w:val="32"/>
          <w:szCs w:val="32"/>
          <w:lang w:val="en-US" w:eastAsia="zh-CN"/>
        </w:rPr>
        <w:t>5</w:t>
      </w:r>
      <w:r>
        <w:rPr>
          <w:rFonts w:hint="eastAsia" w:ascii="仿宋_GB2312" w:hAnsi="仿宋" w:eastAsia="仿宋_GB2312" w:cs="Times New Roman"/>
          <w:sz w:val="32"/>
          <w:szCs w:val="32"/>
        </w:rPr>
        <w:t>年度部门收入年初预算为</w:t>
      </w:r>
      <w:r>
        <w:rPr>
          <w:rFonts w:hint="eastAsia" w:ascii="仿宋_GB2312" w:hAnsi="仿宋" w:eastAsia="仿宋_GB2312" w:cs="Times New Roman"/>
          <w:sz w:val="32"/>
          <w:szCs w:val="32"/>
          <w:lang w:val="en-US" w:eastAsia="zh-CN"/>
        </w:rPr>
        <w:t>76.10万元</w:t>
      </w:r>
      <w:r>
        <w:rPr>
          <w:rFonts w:hint="eastAsia" w:ascii="仿宋_GB2312" w:hAnsi="仿宋" w:eastAsia="仿宋_GB2312" w:cs="Times New Roman"/>
          <w:sz w:val="32"/>
          <w:szCs w:val="32"/>
        </w:rPr>
        <w:t>，调整预算数为</w:t>
      </w:r>
      <w:r>
        <w:rPr>
          <w:rFonts w:hint="eastAsia" w:ascii="仿宋_GB2312" w:hAnsi="仿宋" w:eastAsia="仿宋_GB2312" w:cs="Times New Roman"/>
          <w:sz w:val="32"/>
          <w:szCs w:val="32"/>
          <w:lang w:val="en-US" w:eastAsia="zh-CN"/>
        </w:rPr>
        <w:t>75.74</w:t>
      </w:r>
      <w:r>
        <w:rPr>
          <w:rFonts w:hint="eastAsia" w:ascii="仿宋_GB2312" w:hAnsi="仿宋" w:eastAsia="仿宋_GB2312" w:cs="Times New Roman"/>
          <w:sz w:val="32"/>
          <w:szCs w:val="32"/>
        </w:rPr>
        <w:t>万元，年度支出数为</w:t>
      </w:r>
      <w:r>
        <w:rPr>
          <w:rFonts w:hint="eastAsia" w:ascii="仿宋_GB2312" w:hAnsi="仿宋" w:eastAsia="仿宋_GB2312" w:cs="Times New Roman"/>
          <w:sz w:val="32"/>
          <w:szCs w:val="32"/>
          <w:lang w:val="en-US" w:eastAsia="zh-CN"/>
        </w:rPr>
        <w:t>68.29</w:t>
      </w:r>
      <w:r>
        <w:rPr>
          <w:rFonts w:hint="eastAsia" w:ascii="仿宋_GB2312" w:hAnsi="仿宋" w:eastAsia="仿宋_GB2312" w:cs="Times New Roman"/>
          <w:sz w:val="32"/>
          <w:szCs w:val="32"/>
        </w:rPr>
        <w:t>万元。与上年对比，收入</w:t>
      </w:r>
      <w:r>
        <w:rPr>
          <w:rFonts w:hint="eastAsia" w:ascii="仿宋_GB2312" w:hAnsi="仿宋" w:eastAsia="仿宋_GB2312" w:cs="Times New Roman"/>
          <w:sz w:val="32"/>
          <w:szCs w:val="32"/>
          <w:lang w:val="en-US" w:eastAsia="zh-CN"/>
        </w:rPr>
        <w:t>增加28.70</w:t>
      </w:r>
      <w:r>
        <w:rPr>
          <w:rFonts w:hint="eastAsia" w:ascii="仿宋_GB2312" w:hAnsi="仿宋" w:eastAsia="仿宋_GB2312" w:cs="Times New Roman"/>
          <w:sz w:val="32"/>
          <w:szCs w:val="32"/>
        </w:rPr>
        <w:t>万元，</w:t>
      </w:r>
      <w:r>
        <w:rPr>
          <w:rFonts w:hint="eastAsia" w:ascii="仿宋_GB2312" w:hAnsi="仿宋" w:eastAsia="仿宋_GB2312" w:cs="Times New Roman"/>
          <w:sz w:val="32"/>
          <w:szCs w:val="32"/>
          <w:lang w:val="en-US" w:eastAsia="zh-CN"/>
        </w:rPr>
        <w:t>支出增加28.70</w:t>
      </w:r>
      <w:r>
        <w:rPr>
          <w:rFonts w:hint="eastAsia" w:ascii="仿宋_GB2312" w:hAnsi="仿宋" w:eastAsia="仿宋_GB2312" w:cs="Times New Roman"/>
          <w:sz w:val="32"/>
          <w:szCs w:val="32"/>
        </w:rPr>
        <w:t>万</w:t>
      </w:r>
      <w:r>
        <w:rPr>
          <w:rFonts w:hint="eastAsia" w:ascii="仿宋_GB2312" w:hAnsi="仿宋" w:eastAsia="仿宋_GB2312" w:cs="Times New Roman"/>
          <w:sz w:val="32"/>
          <w:szCs w:val="32"/>
          <w:lang w:val="en-US" w:eastAsia="zh-CN"/>
        </w:rPr>
        <w:t>元</w:t>
      </w:r>
      <w:r>
        <w:rPr>
          <w:rFonts w:hint="eastAsia" w:ascii="仿宋_GB2312" w:hAnsi="仿宋" w:eastAsia="仿宋_GB2312" w:cs="Times New Roman"/>
          <w:sz w:val="32"/>
          <w:szCs w:val="32"/>
        </w:rPr>
        <w:t>，变动原因为202</w:t>
      </w:r>
      <w:r>
        <w:rPr>
          <w:rFonts w:hint="eastAsia" w:ascii="仿宋_GB2312" w:hAnsi="仿宋" w:eastAsia="仿宋_GB2312" w:cs="Times New Roman"/>
          <w:sz w:val="32"/>
          <w:szCs w:val="32"/>
          <w:lang w:val="en-US" w:eastAsia="zh-CN"/>
        </w:rPr>
        <w:t>5</w:t>
      </w:r>
      <w:r>
        <w:rPr>
          <w:rFonts w:hint="eastAsia" w:ascii="仿宋_GB2312" w:hAnsi="仿宋" w:eastAsia="仿宋_GB2312" w:cs="Times New Roman"/>
          <w:sz w:val="32"/>
          <w:szCs w:val="32"/>
        </w:rPr>
        <w:t>年我单位</w:t>
      </w:r>
      <w:r>
        <w:rPr>
          <w:rFonts w:hint="eastAsia" w:ascii="仿宋_GB2312" w:hAnsi="仿宋" w:eastAsia="仿宋_GB2312" w:cs="Times New Roman"/>
          <w:sz w:val="32"/>
          <w:szCs w:val="32"/>
          <w:lang w:val="en-US" w:eastAsia="zh-CN"/>
        </w:rPr>
        <w:t>增加</w:t>
      </w:r>
      <w:r>
        <w:rPr>
          <w:rFonts w:hint="eastAsia" w:ascii="仿宋_GB2312" w:eastAsia="仿宋_GB2312" w:cs="DengXian-Regular"/>
          <w:sz w:val="32"/>
          <w:szCs w:val="32"/>
          <w:lang w:bidi="ar-SA"/>
        </w:rPr>
        <w:t>了人员收支</w:t>
      </w:r>
      <w:r>
        <w:rPr>
          <w:rFonts w:hint="eastAsia" w:ascii="仿宋_GB2312" w:hAnsi="仿宋" w:eastAsia="仿宋_GB2312" w:cs="Times New Roman"/>
          <w:sz w:val="32"/>
          <w:szCs w:val="32"/>
          <w:lang w:val="en-US" w:eastAsia="zh-CN"/>
        </w:rPr>
        <w:t>。</w:t>
      </w:r>
    </w:p>
    <w:p w14:paraId="6C88744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EDD0722">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uk-UA"/>
        </w:rPr>
        <w:t>元氏县文学艺术</w:t>
      </w:r>
      <w:r>
        <w:rPr>
          <w:rFonts w:hint="eastAsia" w:ascii="仿宋_GB2312" w:hAnsi="仿宋" w:eastAsia="仿宋_GB2312" w:cs="Times New Roman"/>
          <w:sz w:val="32"/>
          <w:szCs w:val="32"/>
          <w:lang w:val="en-US" w:eastAsia="zh-CN"/>
        </w:rPr>
        <w:t>界</w:t>
      </w:r>
      <w:r>
        <w:rPr>
          <w:rFonts w:hint="eastAsia" w:ascii="仿宋_GB2312" w:hAnsi="仿宋" w:eastAsia="仿宋_GB2312" w:cs="Times New Roman"/>
          <w:sz w:val="32"/>
          <w:szCs w:val="32"/>
          <w:lang w:eastAsia="uk-UA"/>
        </w:rPr>
        <w:t>联合会的总体绩效目标为</w:t>
      </w:r>
      <w:r>
        <w:rPr>
          <w:rFonts w:hint="eastAsia" w:ascii="仿宋_GB2312" w:hAnsi="仿宋" w:eastAsia="仿宋_GB2312" w:cs="Times New Roman"/>
          <w:sz w:val="32"/>
          <w:szCs w:val="32"/>
        </w:rPr>
        <w:t>：</w:t>
      </w:r>
    </w:p>
    <w:p w14:paraId="4AE15A28">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eastAsia="uk-UA"/>
        </w:rPr>
        <w:t>紧紧围绕县委、县政府工作大局，积极完成上级部门下达的各项任务指标；</w:t>
      </w:r>
    </w:p>
    <w:p w14:paraId="642835C0">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eastAsia="uk-UA"/>
        </w:rPr>
        <w:t>继续</w:t>
      </w:r>
      <w:bookmarkStart w:id="4" w:name="_Hlk103260123"/>
      <w:r>
        <w:rPr>
          <w:rFonts w:hint="eastAsia" w:ascii="仿宋_GB2312" w:hAnsi="仿宋" w:eastAsia="仿宋_GB2312" w:cs="Times New Roman"/>
          <w:sz w:val="32"/>
          <w:szCs w:val="32"/>
          <w:lang w:eastAsia="uk-UA"/>
        </w:rPr>
        <w:t>带领文艺家队伍深入到乡村、部门、学校，广泛开展文艺活动，</w:t>
      </w:r>
      <w:bookmarkEnd w:id="4"/>
      <w:r>
        <w:rPr>
          <w:rFonts w:hint="eastAsia" w:ascii="仿宋_GB2312" w:hAnsi="仿宋" w:eastAsia="仿宋_GB2312" w:cs="Times New Roman"/>
          <w:sz w:val="32"/>
          <w:szCs w:val="32"/>
          <w:lang w:eastAsia="uk-UA"/>
        </w:rPr>
        <w:t>传承文化，启迪心智；</w:t>
      </w:r>
    </w:p>
    <w:p w14:paraId="78E0EFB2">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eastAsia="uk-UA"/>
        </w:rPr>
        <w:t>开展各类丰富的实地采风活动，理论研究活动，及文艺交流活动，有效激发各协会会员的创作热情，为元氏文艺创作再添力量，有效提升全县人民文艺活动参与度。</w:t>
      </w:r>
    </w:p>
    <w:p w14:paraId="1366F8BA">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uk-UA"/>
        </w:rPr>
        <w:t>分项绩效</w:t>
      </w:r>
      <w:r>
        <w:rPr>
          <w:rFonts w:hint="eastAsia" w:ascii="仿宋_GB2312" w:hAnsi="仿宋" w:eastAsia="仿宋_GB2312" w:cs="Times New Roman"/>
          <w:sz w:val="32"/>
          <w:szCs w:val="32"/>
        </w:rPr>
        <w:t>指</w:t>
      </w:r>
      <w:r>
        <w:rPr>
          <w:rFonts w:hint="eastAsia" w:ascii="仿宋_GB2312" w:hAnsi="仿宋" w:eastAsia="仿宋_GB2312" w:cs="Times New Roman"/>
          <w:sz w:val="32"/>
          <w:szCs w:val="32"/>
          <w:lang w:eastAsia="uk-UA"/>
        </w:rPr>
        <w:t>标</w:t>
      </w:r>
      <w:r>
        <w:rPr>
          <w:rFonts w:hint="eastAsia" w:ascii="仿宋_GB2312" w:hAnsi="仿宋" w:eastAsia="仿宋_GB2312" w:cs="Times New Roman"/>
          <w:sz w:val="32"/>
          <w:szCs w:val="32"/>
        </w:rPr>
        <w:t>：</w:t>
      </w:r>
    </w:p>
    <w:p w14:paraId="1EBD699C">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eastAsia="uk-UA"/>
        </w:rPr>
        <w:t xml:space="preserve">1、组织文艺团体会员到各地进行各类文学艺术采风活动，四次及以上为优 </w:t>
      </w:r>
    </w:p>
    <w:p w14:paraId="7139BC99">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eastAsia="uk-UA"/>
        </w:rPr>
        <w:t xml:space="preserve">2、组织各类创作和理论研究活动，四次及以上为优 </w:t>
      </w:r>
    </w:p>
    <w:p w14:paraId="7F829A01">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uk-UA"/>
        </w:rPr>
        <w:t>3、开展各类艺术交流活动，四次及以上为优</w:t>
      </w:r>
    </w:p>
    <w:p w14:paraId="643FECE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0C1946D1">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46F4B66B">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eastAsia="uk-UA"/>
        </w:rPr>
      </w:pPr>
      <w:r>
        <w:rPr>
          <w:rFonts w:hint="eastAsia" w:ascii="仿宋_GB2312" w:hAnsi="仿宋" w:eastAsia="仿宋_GB2312" w:cs="Times New Roman"/>
          <w:sz w:val="32"/>
          <w:szCs w:val="32"/>
          <w:lang w:val="en-US" w:eastAsia="zh-CN"/>
        </w:rPr>
        <w:t>为保证绩效评价工作顺利开展，我单位成立绩效评价工作小组，负责绩效评价的组织管理和实施工作，</w:t>
      </w:r>
      <w:r>
        <w:rPr>
          <w:rFonts w:hint="eastAsia" w:ascii="仿宋_GB2312" w:hAnsi="仿宋" w:eastAsia="仿宋_GB2312" w:cs="Times New Roman"/>
          <w:sz w:val="32"/>
          <w:szCs w:val="32"/>
          <w:lang w:eastAsia="uk-UA"/>
        </w:rPr>
        <w:t>明确每一笔资金用途</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lang w:eastAsia="uk-UA"/>
        </w:rPr>
        <w:t>严格按照要求在使用过程中做到专项专用，充分发挥资金的使用效益。</w:t>
      </w:r>
    </w:p>
    <w:p w14:paraId="202CFADF">
      <w:pPr>
        <w:keepNext w:val="0"/>
        <w:keepLines w:val="0"/>
        <w:pageBreakBefore w:val="0"/>
        <w:widowControl w:val="0"/>
        <w:numPr>
          <w:ilvl w:val="0"/>
          <w:numId w:val="1"/>
        </w:numPr>
        <w:kinsoku/>
        <w:wordWrap/>
        <w:overflowPunct/>
        <w:topLinePunct w:val="0"/>
        <w:autoSpaceDE/>
        <w:autoSpaceDN/>
        <w:bidi w:val="0"/>
        <w:spacing w:line="58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6472BC8">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评价小组采用定性分析与定量分析相结合的方法，从预算管理、预算执行、专项资金使用及生产效益等方面，对该项目进行了综合评价，完成了《项目支出绩效自评表》，形成了整体支出绩效评价报告。</w:t>
      </w:r>
    </w:p>
    <w:p w14:paraId="78F422E4">
      <w:pPr>
        <w:keepNext w:val="0"/>
        <w:keepLines w:val="0"/>
        <w:pageBreakBefore w:val="0"/>
        <w:widowControl w:val="0"/>
        <w:kinsoku/>
        <w:wordWrap/>
        <w:overflowPunct/>
        <w:topLinePunct w:val="0"/>
        <w:autoSpaceDE/>
        <w:autoSpaceDN/>
        <w:bidi w:val="0"/>
        <w:spacing w:line="580" w:lineRule="exact"/>
        <w:textAlignment w:val="auto"/>
        <w:rPr>
          <w:rFonts w:ascii="黑体" w:hAnsi="黑体" w:eastAsia="黑体"/>
          <w:b/>
          <w:bCs/>
          <w:sz w:val="32"/>
          <w:szCs w:val="32"/>
        </w:rPr>
      </w:pPr>
      <w:r>
        <w:rPr>
          <w:rFonts w:hint="eastAsia" w:ascii="黑体" w:hAnsi="黑体" w:eastAsia="黑体"/>
          <w:sz w:val="32"/>
          <w:szCs w:val="32"/>
        </w:rPr>
        <w:t xml:space="preserve"> </w:t>
      </w:r>
      <w:r>
        <w:rPr>
          <w:rFonts w:hint="eastAsia" w:ascii="黑体" w:hAnsi="黑体" w:eastAsia="黑体"/>
          <w:sz w:val="32"/>
          <w:szCs w:val="32"/>
          <w:lang w:val="en-US" w:eastAsia="zh-CN"/>
        </w:rPr>
        <w:t xml:space="preserve">  </w:t>
      </w:r>
      <w:r>
        <w:rPr>
          <w:rFonts w:hint="eastAsia" w:ascii="黑体" w:hAnsi="黑体" w:eastAsia="黑体"/>
          <w:sz w:val="32"/>
          <w:szCs w:val="32"/>
        </w:rPr>
        <w:t>三、部门整体支出绩效目标实现情况及指标分析</w:t>
      </w:r>
    </w:p>
    <w:p w14:paraId="5CD0ACC5">
      <w:pPr>
        <w:keepNext w:val="0"/>
        <w:keepLines w:val="0"/>
        <w:pageBreakBefore w:val="0"/>
        <w:widowControl w:val="0"/>
        <w:numPr>
          <w:ilvl w:val="0"/>
          <w:numId w:val="2"/>
        </w:numPr>
        <w:kinsoku/>
        <w:wordWrap/>
        <w:overflowPunct/>
        <w:topLinePunct w:val="0"/>
        <w:autoSpaceDE/>
        <w:autoSpaceDN/>
        <w:bidi w:val="0"/>
        <w:spacing w:line="58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A0571E4">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2025年以来，在县委、县政府的正确领导下，元氏县文联圆满完成了各项工作和领导交办的各项任务。始终坚持和加强党的全面领导，贯彻落实党对文艺工作的方针政策和决策部署，继续带领带领文艺家队伍深入到乡村、部门、学校，广泛开展文艺活动，传承文化，启迪心智，开展各类丰富的实地采风活动，理论研究活动，及文艺交流活动。</w:t>
      </w:r>
    </w:p>
    <w:p w14:paraId="2786E9D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6433A171">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按照2025年预算执行情况，纳入我单位财政支出绩效评价共一个项目，涉及资金金额3.2425</w:t>
      </w:r>
      <w:bookmarkStart w:id="5" w:name="_GoBack"/>
      <w:bookmarkEnd w:id="5"/>
      <w:r>
        <w:rPr>
          <w:rFonts w:hint="eastAsia" w:ascii="仿宋_GB2312" w:hAnsi="仿宋" w:eastAsia="仿宋_GB2312" w:cs="Times New Roman"/>
          <w:sz w:val="32"/>
          <w:szCs w:val="32"/>
          <w:lang w:val="en-US" w:eastAsia="zh-CN"/>
        </w:rPr>
        <w:t>万元，为文联经费，用于保障文联正常办公，各项活动正常运行，2025年文联各项活动正常运转，积极开展文艺进乡村、进学校以及大型书画展览活动。活动资金及时拨付，预算完成率100%。开展各类文学艺术活动8余次，创作和理论研究活动6余次，各项工作正常完成，按时完成率100%，参与对象满意程度达99%，绩效指标科学，清晰、细化可评价。</w:t>
      </w:r>
    </w:p>
    <w:p w14:paraId="4B82DFE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74CCCAEF">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2025年单位积极履职，通过加强预算收支管理，不断梳理内部管理流程，建立健全内部控制制度，部门整体支出管理水平得到提升。经自评，总体得分100分，较好的完成了年度工作目标，综合评价等级为“优秀”。</w:t>
      </w:r>
    </w:p>
    <w:p w14:paraId="3509D2AB">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7FDF6BEE">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6CB27BD9">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绩效目标事中监控力度不够。我单位预算绩效管理仍处于侧重事后评价阶段，对项目资金的事前绩效目标评审和事中动态监控力度不够、方法不多。</w:t>
      </w:r>
    </w:p>
    <w:p w14:paraId="2763B627">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（二）针对问题提出具体的改进措施或建议</w:t>
      </w:r>
    </w:p>
    <w:p w14:paraId="777BA79A">
      <w:pPr>
        <w:keepNext w:val="0"/>
        <w:keepLines w:val="0"/>
        <w:pageBreakBefore w:val="0"/>
        <w:widowControl w:val="0"/>
        <w:kinsoku/>
        <w:wordWrap/>
        <w:overflowPunct/>
        <w:topLinePunct w:val="0"/>
        <w:autoSpaceDE/>
        <w:autoSpaceDN/>
        <w:bidi w:val="0"/>
        <w:snapToGrid w:val="0"/>
        <w:spacing w:line="580" w:lineRule="exact"/>
        <w:ind w:firstLine="640" w:firstLineChars="200"/>
        <w:textAlignment w:val="auto"/>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强化绩效目标管理。制定绩效目标管理时应结合经济社会发展规划、部门职能及中长期规划以及年度绩效目标编制可考核的量化和细化绩效指标；每年对制定的绩效目标进行评价，重点评价绩效目标与部门职能的相关性、绩效目标设置的科学性、实现绩效目标所采取措施的可行性、所需资金的合理性。</w:t>
      </w:r>
    </w:p>
    <w:p w14:paraId="2FA593C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楷体_GB2312"/>
          <w:sz w:val="32"/>
          <w:szCs w:val="32"/>
        </w:rPr>
      </w:pPr>
      <w:r>
        <w:rPr>
          <w:rFonts w:hint="eastAsia" w:ascii="黑体" w:hAnsi="黑体" w:eastAsia="黑体"/>
          <w:sz w:val="32"/>
          <w:szCs w:val="32"/>
        </w:rPr>
        <w:t>六、评价工作组人员名单及签字（姓名、工作单位、职务、职称）</w:t>
      </w:r>
    </w:p>
    <w:p w14:paraId="47D55FD9">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 w:hAnsi="仿宋" w:eastAsia="仿宋" w:cs="楷体_GB2312"/>
          <w:sz w:val="32"/>
          <w:szCs w:val="32"/>
        </w:rPr>
      </w:pPr>
      <w:r>
        <w:rPr>
          <w:rFonts w:hint="eastAsia" w:ascii="仿宋" w:hAnsi="仿宋" w:eastAsia="仿宋" w:cs="楷体_GB2312"/>
          <w:sz w:val="32"/>
          <w:szCs w:val="32"/>
        </w:rPr>
        <w:t xml:space="preserve">姓 </w:t>
      </w:r>
      <w:r>
        <w:rPr>
          <w:rFonts w:ascii="仿宋" w:hAnsi="仿宋" w:eastAsia="仿宋" w:cs="楷体_GB2312"/>
          <w:sz w:val="32"/>
          <w:szCs w:val="32"/>
        </w:rPr>
        <w:t xml:space="preserve"> </w:t>
      </w:r>
      <w:r>
        <w:rPr>
          <w:rFonts w:hint="eastAsia" w:ascii="仿宋" w:hAnsi="仿宋" w:eastAsia="仿宋" w:cs="楷体_GB2312"/>
          <w:sz w:val="32"/>
          <w:szCs w:val="32"/>
        </w:rPr>
        <w:t xml:space="preserve">名 </w:t>
      </w:r>
      <w:r>
        <w:rPr>
          <w:rFonts w:ascii="仿宋" w:hAnsi="仿宋" w:eastAsia="仿宋" w:cs="楷体_GB2312"/>
          <w:sz w:val="32"/>
          <w:szCs w:val="32"/>
        </w:rPr>
        <w:t xml:space="preserve">      </w:t>
      </w:r>
      <w:r>
        <w:rPr>
          <w:rFonts w:hint="eastAsia" w:ascii="仿宋" w:hAnsi="仿宋" w:eastAsia="仿宋" w:cs="楷体_GB2312"/>
          <w:sz w:val="32"/>
          <w:szCs w:val="32"/>
        </w:rPr>
        <w:t xml:space="preserve">工作单位 </w:t>
      </w:r>
      <w:r>
        <w:rPr>
          <w:rFonts w:ascii="仿宋" w:hAnsi="仿宋" w:eastAsia="仿宋" w:cs="楷体_GB2312"/>
          <w:sz w:val="32"/>
          <w:szCs w:val="32"/>
        </w:rPr>
        <w:t xml:space="preserve">      </w:t>
      </w:r>
      <w:r>
        <w:rPr>
          <w:rFonts w:hint="eastAsia" w:ascii="仿宋" w:hAnsi="仿宋" w:eastAsia="仿宋" w:cs="楷体_GB2312"/>
          <w:sz w:val="32"/>
          <w:szCs w:val="32"/>
          <w:lang w:val="en-US" w:eastAsia="zh-CN"/>
        </w:rPr>
        <w:t xml:space="preserve">  </w:t>
      </w:r>
      <w:r>
        <w:rPr>
          <w:rFonts w:hint="eastAsia" w:ascii="仿宋" w:hAnsi="仿宋" w:eastAsia="仿宋" w:cs="楷体_GB2312"/>
          <w:sz w:val="32"/>
          <w:szCs w:val="32"/>
        </w:rPr>
        <w:t xml:space="preserve">职 </w:t>
      </w:r>
      <w:r>
        <w:rPr>
          <w:rFonts w:ascii="仿宋" w:hAnsi="仿宋" w:eastAsia="仿宋" w:cs="楷体_GB2312"/>
          <w:sz w:val="32"/>
          <w:szCs w:val="32"/>
        </w:rPr>
        <w:t xml:space="preserve"> </w:t>
      </w:r>
      <w:r>
        <w:rPr>
          <w:rFonts w:hint="eastAsia" w:ascii="仿宋" w:hAnsi="仿宋" w:eastAsia="仿宋" w:cs="楷体_GB2312"/>
          <w:sz w:val="32"/>
          <w:szCs w:val="32"/>
        </w:rPr>
        <w:t xml:space="preserve">务 </w:t>
      </w:r>
      <w:r>
        <w:rPr>
          <w:rFonts w:ascii="仿宋" w:hAnsi="仿宋" w:eastAsia="仿宋" w:cs="楷体_GB2312"/>
          <w:sz w:val="32"/>
          <w:szCs w:val="32"/>
        </w:rPr>
        <w:t xml:space="preserve">      </w:t>
      </w:r>
    </w:p>
    <w:p w14:paraId="1C6B905D">
      <w:pPr>
        <w:keepNext w:val="0"/>
        <w:keepLines w:val="0"/>
        <w:pageBreakBefore w:val="0"/>
        <w:widowControl w:val="0"/>
        <w:tabs>
          <w:tab w:val="left" w:pos="340"/>
          <w:tab w:val="left" w:pos="2560"/>
          <w:tab w:val="left" w:pos="5180"/>
        </w:tabs>
        <w:kinsoku/>
        <w:wordWrap/>
        <w:overflowPunct/>
        <w:topLinePunct w:val="0"/>
        <w:autoSpaceDE/>
        <w:autoSpaceDN/>
        <w:bidi w:val="0"/>
        <w:spacing w:line="580" w:lineRule="exact"/>
        <w:textAlignment w:val="auto"/>
        <w:rPr>
          <w:rFonts w:ascii="仿宋" w:hAnsi="仿宋" w:eastAsia="仿宋" w:cs="楷体_GB2312"/>
          <w:sz w:val="32"/>
          <w:szCs w:val="32"/>
        </w:rPr>
      </w:pPr>
      <w:r>
        <w:rPr>
          <w:rFonts w:ascii="仿宋" w:hAnsi="仿宋" w:eastAsia="仿宋" w:cs="楷体_GB2312"/>
          <w:sz w:val="32"/>
          <w:szCs w:val="32"/>
        </w:rPr>
        <w:tab/>
      </w:r>
      <w:r>
        <w:rPr>
          <w:rFonts w:hint="eastAsia" w:ascii="仿宋" w:hAnsi="仿宋" w:eastAsia="仿宋" w:cs="楷体_GB2312"/>
          <w:sz w:val="32"/>
          <w:szCs w:val="32"/>
          <w:lang w:val="en-US" w:eastAsia="zh-CN"/>
        </w:rPr>
        <w:t xml:space="preserve">  赵洮诺</w:t>
      </w:r>
      <w:r>
        <w:rPr>
          <w:rFonts w:ascii="仿宋" w:hAnsi="仿宋" w:eastAsia="仿宋" w:cs="楷体_GB2312"/>
          <w:sz w:val="32"/>
          <w:szCs w:val="32"/>
        </w:rPr>
        <w:tab/>
      </w:r>
      <w:r>
        <w:rPr>
          <w:rFonts w:hint="eastAsia" w:ascii="仿宋" w:hAnsi="仿宋" w:eastAsia="仿宋" w:cs="楷体_GB2312"/>
          <w:sz w:val="32"/>
          <w:szCs w:val="32"/>
        </w:rPr>
        <w:t>元氏县文联</w:t>
      </w:r>
      <w:r>
        <w:rPr>
          <w:rFonts w:hint="eastAsia" w:ascii="仿宋" w:hAnsi="仿宋" w:eastAsia="仿宋" w:cs="楷体_GB2312"/>
          <w:sz w:val="32"/>
          <w:szCs w:val="32"/>
          <w:lang w:val="en-US" w:eastAsia="zh-CN"/>
        </w:rPr>
        <w:t xml:space="preserve">        </w:t>
      </w:r>
      <w:r>
        <w:rPr>
          <w:rFonts w:hint="eastAsia" w:ascii="仿宋" w:hAnsi="仿宋" w:eastAsia="仿宋" w:cs="楷体_GB2312"/>
          <w:sz w:val="32"/>
          <w:szCs w:val="32"/>
        </w:rPr>
        <w:t xml:space="preserve">主 </w:t>
      </w:r>
      <w:r>
        <w:rPr>
          <w:rFonts w:hint="eastAsia" w:ascii="仿宋" w:hAnsi="仿宋" w:eastAsia="仿宋" w:cs="楷体_GB2312"/>
          <w:sz w:val="32"/>
          <w:szCs w:val="32"/>
          <w:lang w:val="en-US" w:eastAsia="zh-CN"/>
        </w:rPr>
        <w:t xml:space="preserve"> </w:t>
      </w:r>
      <w:r>
        <w:rPr>
          <w:rFonts w:hint="eastAsia" w:ascii="仿宋" w:hAnsi="仿宋" w:eastAsia="仿宋" w:cs="楷体_GB2312"/>
          <w:sz w:val="32"/>
          <w:szCs w:val="32"/>
        </w:rPr>
        <w:t>席</w:t>
      </w:r>
    </w:p>
    <w:p w14:paraId="2D1C1A85">
      <w:pPr>
        <w:keepNext w:val="0"/>
        <w:keepLines w:val="0"/>
        <w:pageBreakBefore w:val="0"/>
        <w:widowControl w:val="0"/>
        <w:tabs>
          <w:tab w:val="left" w:pos="2560"/>
          <w:tab w:val="left" w:pos="5180"/>
        </w:tabs>
        <w:kinsoku/>
        <w:wordWrap/>
        <w:overflowPunct/>
        <w:topLinePunct w:val="0"/>
        <w:autoSpaceDE/>
        <w:autoSpaceDN/>
        <w:bidi w:val="0"/>
        <w:spacing w:line="580" w:lineRule="exact"/>
        <w:ind w:firstLine="640" w:firstLineChars="200"/>
        <w:textAlignment w:val="auto"/>
        <w:rPr>
          <w:rFonts w:hint="eastAsia" w:ascii="黑体" w:hAnsi="黑体" w:eastAsia="黑体"/>
          <w:sz w:val="32"/>
          <w:szCs w:val="32"/>
        </w:rPr>
      </w:pPr>
      <w:r>
        <w:rPr>
          <w:rFonts w:hint="eastAsia" w:ascii="仿宋" w:hAnsi="仿宋" w:eastAsia="仿宋" w:cs="楷体_GB2312"/>
          <w:sz w:val="32"/>
          <w:szCs w:val="32"/>
          <w:lang w:val="en-US" w:eastAsia="zh-CN"/>
        </w:rPr>
        <w:t>韩燕新</w:t>
      </w:r>
      <w:r>
        <w:rPr>
          <w:rFonts w:ascii="仿宋" w:hAnsi="仿宋" w:eastAsia="仿宋" w:cs="楷体_GB2312"/>
          <w:sz w:val="32"/>
          <w:szCs w:val="32"/>
        </w:rPr>
        <w:tab/>
      </w:r>
      <w:r>
        <w:rPr>
          <w:rFonts w:hint="eastAsia" w:ascii="仿宋" w:hAnsi="仿宋" w:eastAsia="仿宋" w:cs="楷体_GB2312"/>
          <w:sz w:val="32"/>
          <w:szCs w:val="32"/>
        </w:rPr>
        <w:t>元氏县文联</w:t>
      </w:r>
      <w:r>
        <w:rPr>
          <w:rFonts w:hint="eastAsia" w:ascii="仿宋" w:hAnsi="仿宋" w:eastAsia="仿宋" w:cs="楷体_GB2312"/>
          <w:sz w:val="32"/>
          <w:szCs w:val="32"/>
          <w:lang w:val="en-US" w:eastAsia="zh-CN"/>
        </w:rPr>
        <w:t xml:space="preserve">        副主席</w:t>
      </w:r>
    </w:p>
    <w:p w14:paraId="6A3F241C">
      <w:pPr>
        <w:spacing w:line="560" w:lineRule="exact"/>
        <w:rPr>
          <w:rFonts w:hint="default" w:ascii="仿宋" w:hAnsi="仿宋" w:eastAsia="仿宋" w:cs="楷体_GB2312"/>
          <w:sz w:val="32"/>
          <w:szCs w:val="32"/>
          <w:lang w:val="en-US" w:eastAsia="zh-CN"/>
        </w:rPr>
      </w:pPr>
      <w:r>
        <w:rPr>
          <w:rFonts w:hint="eastAsia" w:ascii="仿宋" w:hAnsi="仿宋" w:eastAsia="仿宋"/>
          <w:lang w:val="en-US" w:eastAsia="zh-CN"/>
        </w:rPr>
        <w:t xml:space="preserve">      </w:t>
      </w:r>
      <w:r>
        <w:rPr>
          <w:rFonts w:hint="eastAsia" w:ascii="仿宋" w:hAnsi="仿宋" w:eastAsia="仿宋" w:cs="楷体_GB2312"/>
          <w:sz w:val="32"/>
          <w:szCs w:val="32"/>
          <w:lang w:val="en-US" w:eastAsia="zh-CN"/>
        </w:rPr>
        <w:t>赵军聪      元氏县文联        科  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楷体_GB2312"/>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E0F8B">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04ECE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2EB05EB"/>
    <w:rsid w:val="046F331E"/>
    <w:rsid w:val="05D15877"/>
    <w:rsid w:val="07956271"/>
    <w:rsid w:val="09721397"/>
    <w:rsid w:val="0BB63BED"/>
    <w:rsid w:val="0E426F97"/>
    <w:rsid w:val="0EB97A43"/>
    <w:rsid w:val="0EBD2122"/>
    <w:rsid w:val="0F214EAE"/>
    <w:rsid w:val="11B71E6A"/>
    <w:rsid w:val="15926B65"/>
    <w:rsid w:val="1AAF0063"/>
    <w:rsid w:val="1BE140DE"/>
    <w:rsid w:val="20FE4176"/>
    <w:rsid w:val="24044C11"/>
    <w:rsid w:val="248C197D"/>
    <w:rsid w:val="252959AF"/>
    <w:rsid w:val="277A6671"/>
    <w:rsid w:val="28B031D3"/>
    <w:rsid w:val="292D35B7"/>
    <w:rsid w:val="33EB6CFF"/>
    <w:rsid w:val="35A12947"/>
    <w:rsid w:val="37387040"/>
    <w:rsid w:val="39355B41"/>
    <w:rsid w:val="3B625C0A"/>
    <w:rsid w:val="3CEE1963"/>
    <w:rsid w:val="40A35ACE"/>
    <w:rsid w:val="40C81049"/>
    <w:rsid w:val="436B78D3"/>
    <w:rsid w:val="4C9C27FE"/>
    <w:rsid w:val="4E1B6675"/>
    <w:rsid w:val="4ECA2430"/>
    <w:rsid w:val="512260B4"/>
    <w:rsid w:val="52BD6ACB"/>
    <w:rsid w:val="55537534"/>
    <w:rsid w:val="55D02A22"/>
    <w:rsid w:val="561A74F1"/>
    <w:rsid w:val="57152EF1"/>
    <w:rsid w:val="597244E8"/>
    <w:rsid w:val="5EB71C30"/>
    <w:rsid w:val="60B66CB8"/>
    <w:rsid w:val="66AF0CE5"/>
    <w:rsid w:val="6AC537CF"/>
    <w:rsid w:val="6B4E1D1A"/>
    <w:rsid w:val="6E5B14A6"/>
    <w:rsid w:val="711B255E"/>
    <w:rsid w:val="728F4514"/>
    <w:rsid w:val="7BB51E06"/>
    <w:rsid w:val="7C387F7C"/>
    <w:rsid w:val="7D2E7EAA"/>
    <w:rsid w:val="7D4A45B8"/>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1746</Words>
  <Characters>1808</Characters>
  <Lines>4</Lines>
  <Paragraphs>1</Paragraphs>
  <TotalTime>8</TotalTime>
  <ScaleCrop>false</ScaleCrop>
  <LinksUpToDate>false</LinksUpToDate>
  <CharactersWithSpaces>1895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随遇而安</cp:lastModifiedBy>
  <cp:lastPrinted>2024-03-06T07:40:00Z</cp:lastPrinted>
  <dcterms:modified xsi:type="dcterms:W3CDTF">2026-05-22T02:10:52Z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eyJoZGlkIjoiYjcxZjg4ZGY3MzFhMjllMDFiYWU3NjQ3OGUxZDQzMzIiLCJ1c2VySWQiOiI3MDI4ODM3OTEifQ==</vt:lpwstr>
  </property>
</Properties>
</file>