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F3CC46">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5BD7C9AB">
      <w:pPr>
        <w:spacing w:line="560" w:lineRule="exact"/>
        <w:jc w:val="center"/>
        <w:rPr>
          <w:rFonts w:ascii="宋体" w:hAnsi="宋体" w:cs="宋体"/>
          <w:b/>
          <w:bCs/>
          <w:sz w:val="44"/>
          <w:szCs w:val="44"/>
        </w:rPr>
      </w:pPr>
    </w:p>
    <w:p w14:paraId="53336772">
      <w:pPr>
        <w:spacing w:line="560" w:lineRule="exact"/>
        <w:jc w:val="center"/>
        <w:rPr>
          <w:rFonts w:ascii="宋体" w:hAnsi="宋体" w:cs="宋体"/>
          <w:b/>
          <w:bCs/>
          <w:sz w:val="44"/>
          <w:szCs w:val="44"/>
        </w:rPr>
      </w:pPr>
      <w:r>
        <w:rPr>
          <w:rFonts w:hint="eastAsia" w:ascii="宋体" w:hAnsi="宋体" w:cs="宋体"/>
          <w:b/>
          <w:bCs/>
          <w:sz w:val="44"/>
          <w:szCs w:val="44"/>
          <w:lang w:val="en-US" w:eastAsia="zh-CN"/>
        </w:rPr>
        <w:t>元氏县医疗保障局</w:t>
      </w:r>
      <w:r>
        <w:rPr>
          <w:rFonts w:hint="eastAsia" w:ascii="宋体" w:hAnsi="宋体" w:cs="宋体"/>
          <w:b/>
          <w:bCs/>
          <w:sz w:val="44"/>
          <w:szCs w:val="44"/>
        </w:rPr>
        <w:t>部门</w:t>
      </w:r>
    </w:p>
    <w:p w14:paraId="4BC22F9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544A4277">
      <w:pPr>
        <w:spacing w:line="560" w:lineRule="exact"/>
        <w:jc w:val="center"/>
        <w:rPr>
          <w:rFonts w:ascii="华文楷体" w:eastAsia="华文楷体"/>
          <w:sz w:val="32"/>
          <w:szCs w:val="32"/>
        </w:rPr>
      </w:pPr>
    </w:p>
    <w:p w14:paraId="3076CCEE">
      <w:pPr>
        <w:keepNext w:val="0"/>
        <w:keepLines w:val="0"/>
        <w:pageBreakBefore w:val="0"/>
        <w:kinsoku/>
        <w:wordWrap/>
        <w:overflowPunct/>
        <w:topLinePunct w:val="0"/>
        <w:autoSpaceDE/>
        <w:autoSpaceDN/>
        <w:bidi w:val="0"/>
        <w:adjustRightInd w:val="0"/>
        <w:snapToGrid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贯彻落实县委县政府《关于全面落实预算绩效管理的实施意见》（元发﹝2019﹞7号）文件精神，遵循“科学性、规范性、客观性和公正性”的原则，对</w:t>
      </w:r>
      <w:r>
        <w:rPr>
          <w:rFonts w:hint="eastAsia" w:ascii="仿宋" w:hAnsi="仿宋" w:eastAsia="仿宋" w:cs="仿宋"/>
          <w:sz w:val="32"/>
          <w:szCs w:val="32"/>
          <w:lang w:val="en-US" w:eastAsia="zh-CN"/>
        </w:rPr>
        <w:t>元氏县医疗保障局</w:t>
      </w:r>
      <w:r>
        <w:rPr>
          <w:rFonts w:hint="eastAsia" w:ascii="仿宋" w:hAnsi="仿宋" w:eastAsia="仿宋" w:cs="仿宋"/>
          <w:sz w:val="32"/>
          <w:szCs w:val="32"/>
        </w:rPr>
        <w:t>部门2024年整体支出情况实施了财政支出绩效自评价，形成本评价报告。</w:t>
      </w:r>
    </w:p>
    <w:p w14:paraId="34C4617A">
      <w:pPr>
        <w:keepNext w:val="0"/>
        <w:keepLines w:val="0"/>
        <w:pageBreakBefore w:val="0"/>
        <w:kinsoku/>
        <w:wordWrap/>
        <w:overflowPunct/>
        <w:topLinePunct w:val="0"/>
        <w:autoSpaceDE/>
        <w:autoSpaceDN/>
        <w:bidi w:val="0"/>
        <w:adjustRightInd w:val="0"/>
        <w:snapToGrid w:val="0"/>
        <w:spacing w:line="480" w:lineRule="auto"/>
        <w:textAlignment w:val="auto"/>
        <w:rPr>
          <w:rFonts w:hint="eastAsia" w:ascii="仿宋" w:hAnsi="仿宋" w:eastAsia="仿宋" w:cs="仿宋"/>
          <w:b/>
          <w:bCs/>
          <w:sz w:val="32"/>
          <w:szCs w:val="32"/>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一、部门基本情况</w:t>
      </w:r>
    </w:p>
    <w:p w14:paraId="66E71A96">
      <w:pPr>
        <w:keepNext w:val="0"/>
        <w:keepLines w:val="0"/>
        <w:pageBreakBefore w:val="0"/>
        <w:kinsoku/>
        <w:wordWrap/>
        <w:overflowPunct/>
        <w:topLinePunct w:val="0"/>
        <w:autoSpaceDE/>
        <w:autoSpaceDN/>
        <w:bidi w:val="0"/>
        <w:adjustRightInd w:val="0"/>
        <w:snapToGrid w:val="0"/>
        <w:spacing w:line="480" w:lineRule="auto"/>
        <w:ind w:firstLine="643" w:firstLineChars="200"/>
        <w:textAlignment w:val="auto"/>
        <w:rPr>
          <w:rFonts w:hint="eastAsia" w:ascii="仿宋" w:hAnsi="仿宋" w:eastAsia="仿宋" w:cs="仿宋"/>
          <w:b/>
          <w:bCs w:val="0"/>
          <w:sz w:val="32"/>
          <w:szCs w:val="32"/>
        </w:rPr>
      </w:pPr>
      <w:r>
        <w:rPr>
          <w:rFonts w:hint="eastAsia" w:ascii="仿宋" w:hAnsi="仿宋" w:eastAsia="仿宋" w:cs="仿宋"/>
          <w:b/>
          <w:bCs w:val="0"/>
          <w:sz w:val="32"/>
          <w:szCs w:val="32"/>
        </w:rPr>
        <w:t>（一）部门概况</w:t>
      </w:r>
    </w:p>
    <w:p w14:paraId="35B394D7">
      <w:pPr>
        <w:keepNext w:val="0"/>
        <w:keepLines w:val="0"/>
        <w:pageBreakBefore w:val="0"/>
        <w:kinsoku/>
        <w:wordWrap/>
        <w:overflowPunct/>
        <w:topLinePunct w:val="0"/>
        <w:autoSpaceDE/>
        <w:autoSpaceDN/>
        <w:bidi w:val="0"/>
        <w:adjustRightInd w:val="0"/>
        <w:snapToGrid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根据《元氏县</w:t>
      </w:r>
      <w:r>
        <w:rPr>
          <w:rFonts w:hint="eastAsia" w:ascii="仿宋" w:hAnsi="仿宋" w:eastAsia="仿宋" w:cs="仿宋"/>
          <w:sz w:val="32"/>
          <w:szCs w:val="32"/>
          <w:lang w:eastAsia="zh-CN"/>
        </w:rPr>
        <w:t>医疗保障</w:t>
      </w:r>
      <w:r>
        <w:rPr>
          <w:rFonts w:hint="eastAsia" w:ascii="仿宋" w:hAnsi="仿宋" w:eastAsia="仿宋" w:cs="仿宋"/>
          <w:sz w:val="32"/>
          <w:szCs w:val="32"/>
        </w:rPr>
        <w:t xml:space="preserve">局职能配置、内设机构和人员编制规定》，主要职责是： </w:t>
      </w:r>
    </w:p>
    <w:p w14:paraId="349436F2">
      <w:pPr>
        <w:keepNext w:val="0"/>
        <w:keepLines w:val="0"/>
        <w:pageBreakBefore w:val="0"/>
        <w:kinsoku/>
        <w:wordWrap/>
        <w:overflowPunct/>
        <w:topLinePunct w:val="0"/>
        <w:autoSpaceDE/>
        <w:autoSpaceDN/>
        <w:bidi w:val="0"/>
        <w:snapToGrid w:val="0"/>
        <w:spacing w:line="480" w:lineRule="auto"/>
        <w:ind w:firstLine="640" w:firstLineChars="200"/>
        <w:textAlignment w:val="auto"/>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贯彻落实职工和城乡医疗保障筹资和待遇政策，推进医疗保险、生育保险、医疗救助等多层次医疗保障体系建设。 贯彻落实医疗保障关系转移接续制度;贯彻落实定点医药机构医保协议和支付管理、异地就医管理办法和结算政策;组织开 展药品、医用耗材、医疗技术的经济性评价。 按照职责权限制定和调整县级公立基层医疗机构医疗贯彻落实医疗保障基金监督管理办法。建立健全医疗保障基 金安全防控机制，监督管理纳入医保支付范围的医疗服务行为和医疗费用，规范医保经办业务落实医疗保障筹资和待遇政 策。落实定点医药机构医保协议和支付管理、异地就医管理办法和结算政策。建立健全医疗保障基金安全防控机制，监督 管理纳入医保支付范围的医疗服务行为和医疗费用。</w:t>
      </w:r>
    </w:p>
    <w:p w14:paraId="19F9F11C">
      <w:pPr>
        <w:keepNext w:val="0"/>
        <w:keepLines w:val="0"/>
        <w:pageBreakBefore w:val="0"/>
        <w:kinsoku/>
        <w:wordWrap/>
        <w:overflowPunct/>
        <w:topLinePunct w:val="0"/>
        <w:autoSpaceDE/>
        <w:autoSpaceDN/>
        <w:bidi w:val="0"/>
        <w:snapToGrid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color w:val="000000"/>
          <w:kern w:val="0"/>
          <w:sz w:val="32"/>
          <w:szCs w:val="32"/>
        </w:rPr>
        <w:t>负责机关日常运转综合协调各科室工作。组织拟订医疗保障工作规划;负责全县医疗保障综合统计工作;负责编制 全县医疗保险、生育保险基金预决算草案和年度基金财务报告;承担机关和所属单位预决算、财务、资产管理、内部审计工 作，推进全县医疗保障信息化建设。组织起草政府规范性文件草案，承担规范性文件的合法性审查工作，承担行政复议、 行政应诉等法律事务工作。综合文件和资料的起草工作；机要、档案、文电、宣传、政务公开、后勤保障、应急管理等工 作；编制全县医疗保险、生育保险基金医疗救助预决算草案和年度基金财务报告;承担机关和所属单位预决算、财务、资产 管理、内部审计工作</w:t>
      </w:r>
      <w:r>
        <w:rPr>
          <w:rFonts w:hint="eastAsia" w:ascii="仿宋" w:hAnsi="仿宋" w:eastAsia="仿宋" w:cs="仿宋"/>
          <w:color w:val="000000"/>
          <w:kern w:val="0"/>
          <w:sz w:val="32"/>
          <w:szCs w:val="32"/>
          <w:lang w:eastAsia="zh-CN"/>
        </w:rPr>
        <w:t>。</w:t>
      </w:r>
      <w:r>
        <w:rPr>
          <w:rFonts w:hint="eastAsia" w:ascii="仿宋" w:hAnsi="仿宋" w:eastAsia="仿宋" w:cs="仿宋"/>
          <w:sz w:val="32"/>
          <w:szCs w:val="32"/>
        </w:rPr>
        <w:t xml:space="preserve"> </w:t>
      </w:r>
    </w:p>
    <w:p w14:paraId="12E8315B">
      <w:pPr>
        <w:keepNext w:val="0"/>
        <w:keepLines w:val="0"/>
        <w:pageBreakBefore w:val="0"/>
        <w:kinsoku/>
        <w:wordWrap/>
        <w:overflowPunct/>
        <w:topLinePunct w:val="0"/>
        <w:autoSpaceDE/>
        <w:autoSpaceDN/>
        <w:bidi w:val="0"/>
        <w:adjustRightInd w:val="0"/>
        <w:snapToGrid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元氏县</w:t>
      </w:r>
      <w:r>
        <w:rPr>
          <w:rFonts w:hint="eastAsia" w:ascii="仿宋" w:hAnsi="仿宋" w:eastAsia="仿宋" w:cs="仿宋"/>
          <w:sz w:val="32"/>
          <w:szCs w:val="32"/>
          <w:lang w:eastAsia="zh-CN"/>
        </w:rPr>
        <w:t>医疗保障</w:t>
      </w:r>
      <w:r>
        <w:rPr>
          <w:rFonts w:hint="eastAsia" w:ascii="仿宋" w:hAnsi="仿宋" w:eastAsia="仿宋" w:cs="仿宋"/>
          <w:sz w:val="32"/>
          <w:szCs w:val="32"/>
        </w:rPr>
        <w:t>局属全额拨款行政单位，规格正科级。内设机构：办公室、</w:t>
      </w:r>
      <w:r>
        <w:rPr>
          <w:rFonts w:hint="eastAsia" w:ascii="仿宋" w:hAnsi="仿宋" w:eastAsia="仿宋" w:cs="仿宋"/>
          <w:sz w:val="32"/>
          <w:szCs w:val="32"/>
          <w:lang w:eastAsia="zh-CN"/>
        </w:rPr>
        <w:t>医疗保障服务和监督科</w:t>
      </w:r>
      <w:r>
        <w:rPr>
          <w:rFonts w:hint="eastAsia" w:ascii="仿宋" w:hAnsi="仿宋" w:eastAsia="仿宋" w:cs="仿宋"/>
          <w:sz w:val="32"/>
          <w:szCs w:val="32"/>
        </w:rPr>
        <w:t>。行政编制数</w:t>
      </w:r>
      <w:r>
        <w:rPr>
          <w:rFonts w:hint="eastAsia" w:ascii="仿宋" w:hAnsi="仿宋" w:eastAsia="仿宋" w:cs="仿宋"/>
          <w:sz w:val="32"/>
          <w:szCs w:val="32"/>
          <w:lang w:val="en-US" w:eastAsia="zh-CN"/>
        </w:rPr>
        <w:t>7</w:t>
      </w:r>
      <w:r>
        <w:rPr>
          <w:rFonts w:hint="eastAsia" w:ascii="仿宋" w:hAnsi="仿宋" w:eastAsia="仿宋" w:cs="仿宋"/>
          <w:sz w:val="32"/>
          <w:szCs w:val="32"/>
        </w:rPr>
        <w:t>名，实有</w:t>
      </w:r>
      <w:r>
        <w:rPr>
          <w:rFonts w:hint="eastAsia" w:ascii="仿宋" w:hAnsi="仿宋" w:eastAsia="仿宋" w:cs="仿宋"/>
          <w:sz w:val="32"/>
          <w:szCs w:val="32"/>
          <w:lang w:val="en-US" w:eastAsia="zh-CN"/>
        </w:rPr>
        <w:t>6</w:t>
      </w:r>
      <w:r>
        <w:rPr>
          <w:rFonts w:hint="eastAsia" w:ascii="仿宋" w:hAnsi="仿宋" w:eastAsia="仿宋" w:cs="仿宋"/>
          <w:sz w:val="32"/>
          <w:szCs w:val="32"/>
        </w:rPr>
        <w:t>人,下设全额事业单位元氏县</w:t>
      </w:r>
      <w:r>
        <w:rPr>
          <w:rFonts w:hint="eastAsia" w:ascii="仿宋" w:hAnsi="仿宋" w:eastAsia="仿宋" w:cs="仿宋"/>
          <w:sz w:val="32"/>
          <w:szCs w:val="32"/>
          <w:lang w:eastAsia="zh-CN"/>
        </w:rPr>
        <w:t>医疗保险管理</w:t>
      </w:r>
      <w:r>
        <w:rPr>
          <w:rFonts w:hint="eastAsia" w:ascii="仿宋" w:hAnsi="仿宋" w:eastAsia="仿宋" w:cs="仿宋"/>
          <w:sz w:val="32"/>
          <w:szCs w:val="32"/>
        </w:rPr>
        <w:t>中心，事业编制</w:t>
      </w:r>
      <w:r>
        <w:rPr>
          <w:rFonts w:hint="eastAsia" w:ascii="仿宋" w:hAnsi="仿宋" w:eastAsia="仿宋" w:cs="仿宋"/>
          <w:sz w:val="32"/>
          <w:szCs w:val="32"/>
          <w:lang w:val="en-US" w:eastAsia="zh-CN"/>
        </w:rPr>
        <w:t>25</w:t>
      </w:r>
      <w:r>
        <w:rPr>
          <w:rFonts w:hint="eastAsia" w:ascii="仿宋" w:hAnsi="仿宋" w:eastAsia="仿宋" w:cs="仿宋"/>
          <w:sz w:val="32"/>
          <w:szCs w:val="32"/>
        </w:rPr>
        <w:t>名，实有</w:t>
      </w:r>
      <w:r>
        <w:rPr>
          <w:rFonts w:hint="eastAsia" w:ascii="仿宋" w:hAnsi="仿宋" w:eastAsia="仿宋" w:cs="仿宋"/>
          <w:sz w:val="32"/>
          <w:szCs w:val="32"/>
          <w:lang w:val="en-US" w:eastAsia="zh-CN"/>
        </w:rPr>
        <w:t>21</w:t>
      </w:r>
      <w:r>
        <w:rPr>
          <w:rFonts w:hint="eastAsia" w:ascii="仿宋" w:hAnsi="仿宋" w:eastAsia="仿宋" w:cs="仿宋"/>
          <w:sz w:val="32"/>
          <w:szCs w:val="32"/>
        </w:rPr>
        <w:t>人。</w:t>
      </w:r>
    </w:p>
    <w:p w14:paraId="391EA26A">
      <w:pPr>
        <w:keepNext w:val="0"/>
        <w:keepLines w:val="0"/>
        <w:pageBreakBefore w:val="0"/>
        <w:numPr>
          <w:ilvl w:val="0"/>
          <w:numId w:val="0"/>
        </w:numPr>
        <w:kinsoku/>
        <w:wordWrap/>
        <w:overflowPunct/>
        <w:topLinePunct w:val="0"/>
        <w:autoSpaceDE/>
        <w:autoSpaceDN/>
        <w:bidi w:val="0"/>
        <w:adjustRightInd w:val="0"/>
        <w:snapToGrid w:val="0"/>
        <w:spacing w:line="480" w:lineRule="auto"/>
        <w:ind w:firstLine="640" w:firstLineChars="200"/>
        <w:textAlignment w:val="auto"/>
        <w:rPr>
          <w:rFonts w:hint="eastAsia" w:ascii="仿宋" w:hAnsi="仿宋" w:eastAsia="仿宋" w:cs="仿宋"/>
          <w:bCs/>
          <w:sz w:val="32"/>
          <w:szCs w:val="32"/>
        </w:rPr>
      </w:pPr>
      <w:r>
        <w:rPr>
          <w:rFonts w:hint="eastAsia" w:ascii="仿宋" w:hAnsi="仿宋" w:eastAsia="仿宋" w:cs="仿宋"/>
          <w:b w:val="0"/>
          <w:color w:val="000000"/>
          <w:sz w:val="32"/>
          <w:szCs w:val="32"/>
        </w:rPr>
        <w:t>元氏县医疗保障局（含所属单位）上年末固定资产</w:t>
      </w:r>
      <w:r>
        <w:rPr>
          <w:rFonts w:hint="eastAsia" w:ascii="仿宋" w:hAnsi="仿宋" w:eastAsia="仿宋" w:cs="仿宋"/>
          <w:b w:val="0"/>
          <w:color w:val="000000"/>
          <w:sz w:val="32"/>
          <w:szCs w:val="32"/>
          <w:lang w:val="en-US" w:eastAsia="zh-CN"/>
        </w:rPr>
        <w:t>净值51.43</w:t>
      </w:r>
      <w:r>
        <w:rPr>
          <w:rFonts w:hint="eastAsia" w:ascii="仿宋" w:hAnsi="仿宋" w:eastAsia="仿宋" w:cs="仿宋"/>
          <w:b w:val="0"/>
          <w:color w:val="000000"/>
          <w:sz w:val="32"/>
          <w:szCs w:val="32"/>
        </w:rPr>
        <w:t>万元。本年度固定资产</w:t>
      </w:r>
      <w:r>
        <w:rPr>
          <w:rFonts w:hint="eastAsia" w:ascii="仿宋" w:hAnsi="仿宋" w:eastAsia="仿宋" w:cs="仿宋"/>
          <w:b w:val="0"/>
          <w:color w:val="000000"/>
          <w:sz w:val="32"/>
          <w:szCs w:val="32"/>
          <w:lang w:val="en-US" w:eastAsia="zh-CN"/>
        </w:rPr>
        <w:t>净值</w:t>
      </w:r>
      <w:r>
        <w:rPr>
          <w:rFonts w:hint="eastAsia" w:ascii="仿宋" w:hAnsi="仿宋" w:eastAsia="仿宋" w:cs="仿宋"/>
          <w:b w:val="0"/>
          <w:color w:val="000000" w:themeColor="text1"/>
          <w:sz w:val="32"/>
          <w:szCs w:val="32"/>
        </w:rPr>
        <w:t>为</w:t>
      </w:r>
      <w:r>
        <w:rPr>
          <w:rFonts w:hint="eastAsia" w:ascii="仿宋" w:hAnsi="仿宋" w:eastAsia="仿宋" w:cs="仿宋"/>
          <w:b w:val="0"/>
          <w:color w:val="000000" w:themeColor="text1"/>
          <w:sz w:val="32"/>
          <w:szCs w:val="32"/>
          <w:lang w:val="en-US" w:eastAsia="zh-CN"/>
        </w:rPr>
        <w:t>39.13</w:t>
      </w:r>
      <w:r>
        <w:rPr>
          <w:rFonts w:hint="eastAsia" w:ascii="仿宋" w:hAnsi="仿宋" w:eastAsia="仿宋" w:cs="仿宋"/>
          <w:b w:val="0"/>
          <w:color w:val="000000"/>
          <w:sz w:val="32"/>
          <w:szCs w:val="32"/>
        </w:rPr>
        <w:t>万元</w:t>
      </w:r>
      <w:r>
        <w:rPr>
          <w:rFonts w:hint="eastAsia" w:ascii="仿宋" w:hAnsi="仿宋" w:eastAsia="仿宋" w:cs="仿宋"/>
          <w:b w:val="0"/>
          <w:color w:val="000000"/>
          <w:sz w:val="32"/>
          <w:szCs w:val="32"/>
          <w:lang w:eastAsia="zh-CN"/>
        </w:rPr>
        <w:t>。</w:t>
      </w:r>
    </w:p>
    <w:p w14:paraId="0C8CDAB6">
      <w:pPr>
        <w:keepNext w:val="0"/>
        <w:keepLines w:val="0"/>
        <w:pageBreakBefore w:val="0"/>
        <w:numPr>
          <w:ilvl w:val="0"/>
          <w:numId w:val="1"/>
        </w:numPr>
        <w:kinsoku/>
        <w:wordWrap/>
        <w:overflowPunct/>
        <w:topLinePunct w:val="0"/>
        <w:autoSpaceDE/>
        <w:autoSpaceDN/>
        <w:bidi w:val="0"/>
        <w:adjustRightInd w:val="0"/>
        <w:snapToGrid w:val="0"/>
        <w:spacing w:line="480" w:lineRule="auto"/>
        <w:ind w:firstLine="643" w:firstLineChars="200"/>
        <w:textAlignment w:val="auto"/>
        <w:rPr>
          <w:rFonts w:hint="eastAsia" w:ascii="仿宋" w:hAnsi="仿宋" w:eastAsia="仿宋" w:cs="仿宋"/>
          <w:b/>
          <w:bCs w:val="0"/>
          <w:sz w:val="32"/>
          <w:szCs w:val="32"/>
        </w:rPr>
      </w:pPr>
      <w:r>
        <w:rPr>
          <w:rFonts w:hint="eastAsia" w:ascii="仿宋" w:hAnsi="仿宋" w:eastAsia="仿宋" w:cs="仿宋"/>
          <w:b/>
          <w:bCs w:val="0"/>
          <w:sz w:val="32"/>
          <w:szCs w:val="32"/>
        </w:rPr>
        <w:t>部门收支预决算情况</w:t>
      </w:r>
    </w:p>
    <w:p w14:paraId="071ED828">
      <w:pPr>
        <w:pStyle w:val="7"/>
        <w:keepNext w:val="0"/>
        <w:keepLines w:val="0"/>
        <w:pageBreakBefore w:val="0"/>
        <w:kinsoku/>
        <w:wordWrap/>
        <w:overflowPunct/>
        <w:topLinePunct w:val="0"/>
        <w:autoSpaceDE/>
        <w:autoSpaceDN/>
        <w:bidi w:val="0"/>
        <w:spacing w:line="480" w:lineRule="auto"/>
        <w:textAlignment w:val="auto"/>
        <w:rPr>
          <w:rFonts w:hint="eastAsia" w:ascii="仿宋" w:hAnsi="仿宋" w:eastAsia="仿宋" w:cs="仿宋"/>
          <w:sz w:val="32"/>
          <w:szCs w:val="32"/>
        </w:rPr>
      </w:pPr>
      <w:r>
        <w:rPr>
          <w:rFonts w:hint="eastAsia" w:ascii="仿宋" w:hAnsi="仿宋" w:eastAsia="仿宋" w:cs="仿宋"/>
          <w:b/>
          <w:bCs/>
          <w:color w:val="auto"/>
          <w:sz w:val="32"/>
          <w:szCs w:val="32"/>
          <w:lang w:val="en-US" w:eastAsia="zh-CN"/>
        </w:rPr>
        <w:t>预算收支情况</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b w:val="0"/>
          <w:bCs w:val="0"/>
          <w:color w:val="auto"/>
          <w:sz w:val="32"/>
          <w:szCs w:val="32"/>
        </w:rPr>
        <w:t>预算收入</w:t>
      </w:r>
      <w:r>
        <w:rPr>
          <w:rFonts w:hint="eastAsia" w:ascii="仿宋" w:hAnsi="仿宋" w:eastAsia="仿宋" w:cs="仿宋"/>
          <w:b w:val="0"/>
          <w:bCs w:val="0"/>
          <w:color w:val="auto"/>
          <w:sz w:val="32"/>
          <w:szCs w:val="32"/>
          <w:lang w:val="en-US" w:eastAsia="zh-CN"/>
        </w:rPr>
        <w:t>5850.45</w:t>
      </w:r>
      <w:r>
        <w:rPr>
          <w:rFonts w:hint="eastAsia" w:ascii="仿宋" w:hAnsi="仿宋" w:eastAsia="仿宋" w:cs="仿宋"/>
          <w:color w:val="auto"/>
          <w:sz w:val="32"/>
          <w:szCs w:val="32"/>
        </w:rPr>
        <w:t>其中：一般公共预算收入</w:t>
      </w:r>
      <w:r>
        <w:rPr>
          <w:rFonts w:hint="eastAsia" w:ascii="仿宋" w:hAnsi="仿宋" w:eastAsia="仿宋" w:cs="仿宋"/>
          <w:sz w:val="32"/>
          <w:szCs w:val="32"/>
          <w:lang w:val="en-US" w:eastAsia="zh-CN"/>
        </w:rPr>
        <w:t>5850.45</w:t>
      </w:r>
      <w:r>
        <w:rPr>
          <w:rFonts w:hint="eastAsia" w:ascii="仿宋" w:hAnsi="仿宋" w:eastAsia="仿宋" w:cs="仿宋"/>
          <w:color w:val="auto"/>
          <w:sz w:val="32"/>
          <w:szCs w:val="32"/>
        </w:rPr>
        <w:t>万元，基金预算收入</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万元，财政专户核拨收入0万元，其他来源收入0万元。</w:t>
      </w:r>
      <w:r>
        <w:rPr>
          <w:rFonts w:hint="eastAsia" w:ascii="仿宋" w:hAnsi="仿宋" w:eastAsia="仿宋" w:cs="仿宋"/>
          <w:color w:val="auto"/>
          <w:sz w:val="32"/>
          <w:szCs w:val="32"/>
          <w:lang w:val="en-US" w:eastAsia="zh-CN"/>
        </w:rPr>
        <w:t>2025</w:t>
      </w:r>
      <w:r>
        <w:rPr>
          <w:rFonts w:hint="eastAsia" w:ascii="仿宋" w:hAnsi="仿宋" w:eastAsia="仿宋" w:cs="仿宋"/>
          <w:sz w:val="32"/>
          <w:szCs w:val="32"/>
        </w:rPr>
        <w:t>年单位支出预算为</w:t>
      </w:r>
      <w:r>
        <w:rPr>
          <w:rFonts w:hint="eastAsia" w:ascii="宋体" w:hAnsi="宋体"/>
          <w:sz w:val="32"/>
          <w:szCs w:val="32"/>
        </w:rPr>
        <w:t>5850.45</w:t>
      </w:r>
      <w:r>
        <w:rPr>
          <w:rFonts w:hint="eastAsia" w:ascii="仿宋" w:hAnsi="仿宋" w:eastAsia="仿宋" w:cs="仿宋"/>
          <w:sz w:val="32"/>
          <w:szCs w:val="32"/>
        </w:rPr>
        <w:t>万元</w:t>
      </w:r>
      <w:r>
        <w:rPr>
          <w:rFonts w:hint="eastAsia" w:ascii="宋体" w:hAnsi="宋体"/>
          <w:sz w:val="32"/>
          <w:szCs w:val="32"/>
        </w:rPr>
        <w:t>，</w:t>
      </w:r>
      <w:r>
        <w:rPr>
          <w:rFonts w:hint="eastAsia" w:ascii="仿宋" w:hAnsi="仿宋" w:eastAsia="仿宋" w:cs="仿宋"/>
          <w:sz w:val="32"/>
          <w:szCs w:val="32"/>
        </w:rPr>
        <w:t>基本支出399万元；项目支出5451.45万元，项目支出主要包括：县级配套医疗救助资金184.61万元、办公场地租赁费5万元、退役士兵安置费21.8万元、医保经办服务示范工程试点建设经费7.2万元和医保退休职工服务中心经费3.6万元、医疗服务与保障能力提升补助26万元、行政执法罚没42万元、2025年城乡居民基本医疗保险5133.58万元、居民2022-2024.07月新冠疫苗及接种费用县级财政补助6.06万元、宣传活动经费3.6万元、网络经费6万元、公务用车购置12万元。</w:t>
      </w:r>
    </w:p>
    <w:p w14:paraId="25AD26CD">
      <w:pPr>
        <w:pStyle w:val="7"/>
        <w:keepNext w:val="0"/>
        <w:keepLines w:val="0"/>
        <w:pageBreakBefore w:val="0"/>
        <w:kinsoku/>
        <w:wordWrap/>
        <w:overflowPunct/>
        <w:topLinePunct w:val="0"/>
        <w:autoSpaceDE/>
        <w:autoSpaceDN/>
        <w:bidi w:val="0"/>
        <w:spacing w:line="480" w:lineRule="auto"/>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预算调整后</w:t>
      </w:r>
      <w:r>
        <w:rPr>
          <w:rFonts w:hint="eastAsia" w:ascii="仿宋" w:hAnsi="仿宋" w:eastAsia="仿宋" w:cs="仿宋"/>
          <w:sz w:val="32"/>
          <w:szCs w:val="32"/>
        </w:rPr>
        <w:t>项目预算支出</w:t>
      </w:r>
      <w:r>
        <w:rPr>
          <w:rFonts w:hint="eastAsia" w:ascii="仿宋" w:hAnsi="仿宋" w:eastAsia="仿宋" w:cs="仿宋"/>
          <w:sz w:val="32"/>
          <w:szCs w:val="32"/>
          <w:lang w:val="en-US" w:eastAsia="zh-CN"/>
        </w:rPr>
        <w:t>4910.92108万元，</w:t>
      </w:r>
      <w:r>
        <w:rPr>
          <w:rFonts w:hint="eastAsia" w:ascii="仿宋" w:hAnsi="仿宋" w:eastAsia="仿宋" w:cs="仿宋"/>
          <w:sz w:val="32"/>
          <w:szCs w:val="32"/>
        </w:rPr>
        <w:t>项目支出主要包括：</w:t>
      </w:r>
      <w:r>
        <w:rPr>
          <w:rFonts w:hint="eastAsia" w:ascii="仿宋" w:hAnsi="仿宋" w:eastAsia="仿宋" w:cs="仿宋"/>
          <w:sz w:val="32"/>
          <w:szCs w:val="32"/>
          <w:lang w:val="en-US" w:eastAsia="zh-CN"/>
        </w:rPr>
        <w:t>劳务派遣人员43.30121万元、残疾人就业补助金0.00483万元、</w:t>
      </w:r>
      <w:r>
        <w:rPr>
          <w:rFonts w:hint="eastAsia" w:ascii="仿宋" w:hAnsi="仿宋" w:eastAsia="仿宋" w:cs="仿宋"/>
          <w:sz w:val="32"/>
          <w:szCs w:val="32"/>
        </w:rPr>
        <w:t>县级配套医疗救助资金</w:t>
      </w:r>
      <w:r>
        <w:rPr>
          <w:rFonts w:hint="eastAsia" w:ascii="仿宋" w:hAnsi="仿宋" w:eastAsia="仿宋" w:cs="仿宋"/>
          <w:sz w:val="32"/>
          <w:szCs w:val="32"/>
          <w:lang w:val="en-US" w:eastAsia="zh-CN"/>
        </w:rPr>
        <w:t>12.88853</w:t>
      </w:r>
      <w:r>
        <w:rPr>
          <w:rFonts w:hint="eastAsia" w:ascii="仿宋" w:hAnsi="仿宋" w:eastAsia="仿宋" w:cs="仿宋"/>
          <w:sz w:val="32"/>
          <w:szCs w:val="32"/>
        </w:rPr>
        <w:t>万元、办公场地租赁费5万元、退役士兵安置费21.</w:t>
      </w:r>
      <w:r>
        <w:rPr>
          <w:rFonts w:hint="eastAsia" w:ascii="仿宋" w:hAnsi="仿宋" w:eastAsia="仿宋" w:cs="仿宋"/>
          <w:sz w:val="32"/>
          <w:szCs w:val="32"/>
          <w:lang w:val="en-US" w:eastAsia="zh-CN"/>
        </w:rPr>
        <w:t>63351</w:t>
      </w:r>
      <w:r>
        <w:rPr>
          <w:rFonts w:hint="eastAsia" w:ascii="仿宋" w:hAnsi="仿宋" w:eastAsia="仿宋" w:cs="仿宋"/>
          <w:sz w:val="32"/>
          <w:szCs w:val="32"/>
        </w:rPr>
        <w:t>万元、医保经办服务示范工程试点建设经费</w:t>
      </w:r>
      <w:r>
        <w:rPr>
          <w:rFonts w:hint="eastAsia" w:ascii="仿宋" w:hAnsi="仿宋" w:eastAsia="仿宋" w:cs="仿宋"/>
          <w:sz w:val="32"/>
          <w:szCs w:val="32"/>
          <w:lang w:val="en-US" w:eastAsia="zh-CN"/>
        </w:rPr>
        <w:t>0</w:t>
      </w:r>
      <w:r>
        <w:rPr>
          <w:rFonts w:hint="eastAsia" w:ascii="仿宋" w:hAnsi="仿宋" w:eastAsia="仿宋" w:cs="仿宋"/>
          <w:sz w:val="32"/>
          <w:szCs w:val="32"/>
        </w:rPr>
        <w:t>万元和医保退休职工服务中心经费</w:t>
      </w:r>
      <w:r>
        <w:rPr>
          <w:rFonts w:hint="eastAsia" w:ascii="仿宋" w:hAnsi="仿宋" w:eastAsia="仿宋" w:cs="仿宋"/>
          <w:sz w:val="32"/>
          <w:szCs w:val="32"/>
          <w:lang w:val="en-US" w:eastAsia="zh-CN"/>
        </w:rPr>
        <w:t>0.6</w:t>
      </w:r>
      <w:r>
        <w:rPr>
          <w:rFonts w:hint="eastAsia" w:ascii="仿宋" w:hAnsi="仿宋" w:eastAsia="仿宋" w:cs="仿宋"/>
          <w:sz w:val="32"/>
          <w:szCs w:val="32"/>
        </w:rPr>
        <w:t>万元、医疗服务与保障能力提升补助26万元、行政执法罚没</w:t>
      </w:r>
      <w:r>
        <w:rPr>
          <w:rFonts w:hint="eastAsia" w:ascii="仿宋" w:hAnsi="仿宋" w:eastAsia="仿宋" w:cs="仿宋"/>
          <w:sz w:val="32"/>
          <w:szCs w:val="32"/>
          <w:lang w:val="en-US" w:eastAsia="zh-CN"/>
        </w:rPr>
        <w:t>0</w:t>
      </w:r>
      <w:r>
        <w:rPr>
          <w:rFonts w:hint="eastAsia" w:ascii="仿宋" w:hAnsi="仿宋" w:eastAsia="仿宋" w:cs="仿宋"/>
          <w:sz w:val="32"/>
          <w:szCs w:val="32"/>
        </w:rPr>
        <w:t>万元、2025年城乡居民基本医疗保险</w:t>
      </w:r>
      <w:r>
        <w:rPr>
          <w:rFonts w:hint="eastAsia" w:ascii="仿宋" w:hAnsi="仿宋" w:eastAsia="仿宋" w:cs="仿宋"/>
          <w:sz w:val="32"/>
          <w:szCs w:val="32"/>
          <w:lang w:val="en-US" w:eastAsia="zh-CN"/>
        </w:rPr>
        <w:t>4793.978</w:t>
      </w:r>
      <w:r>
        <w:rPr>
          <w:rFonts w:hint="eastAsia" w:ascii="仿宋" w:hAnsi="仿宋" w:eastAsia="仿宋" w:cs="仿宋"/>
          <w:sz w:val="32"/>
          <w:szCs w:val="32"/>
        </w:rPr>
        <w:t>万元、居民2022-2024.07月新冠疫苗及接种费用县级财政补助</w:t>
      </w:r>
      <w:r>
        <w:rPr>
          <w:rFonts w:hint="eastAsia" w:ascii="仿宋" w:hAnsi="仿宋" w:eastAsia="仿宋" w:cs="仿宋"/>
          <w:sz w:val="32"/>
          <w:szCs w:val="32"/>
          <w:lang w:val="en-US" w:eastAsia="zh-CN"/>
        </w:rPr>
        <w:t>1.515</w:t>
      </w:r>
      <w:r>
        <w:rPr>
          <w:rFonts w:hint="eastAsia" w:ascii="仿宋" w:hAnsi="仿宋" w:eastAsia="仿宋" w:cs="仿宋"/>
          <w:sz w:val="32"/>
          <w:szCs w:val="32"/>
        </w:rPr>
        <w:t>万元、宣传活动经费</w:t>
      </w:r>
      <w:r>
        <w:rPr>
          <w:rFonts w:hint="eastAsia" w:ascii="仿宋" w:hAnsi="仿宋" w:eastAsia="仿宋" w:cs="仿宋"/>
          <w:sz w:val="32"/>
          <w:szCs w:val="32"/>
          <w:lang w:val="en-US" w:eastAsia="zh-CN"/>
        </w:rPr>
        <w:t>0</w:t>
      </w:r>
      <w:r>
        <w:rPr>
          <w:rFonts w:hint="eastAsia" w:ascii="仿宋" w:hAnsi="仿宋" w:eastAsia="仿宋" w:cs="仿宋"/>
          <w:sz w:val="32"/>
          <w:szCs w:val="32"/>
        </w:rPr>
        <w:t>万元、网络经费6万元、公务用车购置</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5DB913AA">
      <w:pPr>
        <w:pStyle w:val="7"/>
        <w:keepNext w:val="0"/>
        <w:keepLines w:val="0"/>
        <w:pageBreakBefore w:val="0"/>
        <w:kinsoku/>
        <w:wordWrap/>
        <w:overflowPunct/>
        <w:topLinePunct w:val="0"/>
        <w:autoSpaceDE/>
        <w:autoSpaceDN/>
        <w:bidi w:val="0"/>
        <w:spacing w:line="480" w:lineRule="auto"/>
        <w:textAlignment w:val="auto"/>
        <w:rPr>
          <w:rFonts w:hint="eastAsia" w:ascii="仿宋" w:hAnsi="仿宋" w:eastAsia="仿宋" w:cs="仿宋"/>
          <w:sz w:val="32"/>
          <w:szCs w:val="32"/>
        </w:rPr>
      </w:pPr>
    </w:p>
    <w:p w14:paraId="70E1C937">
      <w:pPr>
        <w:pStyle w:val="7"/>
        <w:keepNext w:val="0"/>
        <w:keepLines w:val="0"/>
        <w:pageBreakBefore w:val="0"/>
        <w:kinsoku/>
        <w:wordWrap/>
        <w:overflowPunct/>
        <w:topLinePunct w:val="0"/>
        <w:autoSpaceDE/>
        <w:autoSpaceDN/>
        <w:bidi w:val="0"/>
        <w:spacing w:line="480" w:lineRule="auto"/>
        <w:textAlignment w:val="auto"/>
        <w:rPr>
          <w:rFonts w:hint="eastAsia" w:ascii="仿宋" w:hAnsi="仿宋" w:eastAsia="仿宋" w:cs="仿宋"/>
          <w:bCs/>
          <w:sz w:val="32"/>
          <w:szCs w:val="32"/>
        </w:rPr>
      </w:pPr>
      <w:r>
        <w:rPr>
          <w:rFonts w:hint="eastAsia" w:ascii="仿宋" w:hAnsi="仿宋" w:eastAsia="仿宋" w:cs="仿宋"/>
          <w:b/>
          <w:bCs/>
          <w:color w:val="auto"/>
          <w:sz w:val="32"/>
          <w:szCs w:val="32"/>
        </w:rPr>
        <w:t>决算收支情况</w:t>
      </w:r>
      <w:r>
        <w:rPr>
          <w:rFonts w:hint="eastAsia" w:ascii="仿宋" w:hAnsi="仿宋" w:eastAsia="仿宋" w:cs="仿宋"/>
          <w:color w:val="auto"/>
          <w:sz w:val="32"/>
          <w:szCs w:val="32"/>
        </w:rPr>
        <w:t>：上年结转</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万元，202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sz w:val="32"/>
          <w:szCs w:val="32"/>
        </w:rPr>
        <w:t>本部门2025年度本年收入合计5294.26万元，其中：财政拨款收入5294.26万元，占100%；政府性基金预算财政拨款收入0万元，占0%；事业收入0万元，占0%；经营收入0万元，占0%；其他收入0万元，占0%。</w:t>
      </w: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5年</w:t>
      </w:r>
      <w:r>
        <w:rPr>
          <w:rFonts w:hint="eastAsia" w:ascii="仿宋" w:hAnsi="仿宋" w:eastAsia="仿宋" w:cs="仿宋"/>
          <w:sz w:val="32"/>
          <w:szCs w:val="32"/>
          <w:lang w:val="en-US" w:eastAsia="zh-CN"/>
        </w:rPr>
        <w:t>部门</w:t>
      </w:r>
      <w:r>
        <w:rPr>
          <w:rFonts w:hint="eastAsia" w:ascii="仿宋" w:hAnsi="仿宋" w:eastAsia="仿宋" w:cs="仿宋"/>
          <w:sz w:val="32"/>
          <w:szCs w:val="32"/>
        </w:rPr>
        <w:t>支出5294.26</w:t>
      </w:r>
      <w:r>
        <w:rPr>
          <w:rFonts w:hint="eastAsia" w:ascii="仿宋" w:hAnsi="仿宋" w:eastAsia="仿宋" w:cs="仿宋"/>
          <w:color w:val="auto"/>
          <w:sz w:val="32"/>
          <w:szCs w:val="32"/>
        </w:rPr>
        <w:t>万元，</w:t>
      </w:r>
      <w:r>
        <w:rPr>
          <w:rFonts w:hint="eastAsia" w:ascii="仿宋" w:hAnsi="仿宋" w:eastAsia="仿宋" w:cs="仿宋"/>
          <w:color w:val="auto"/>
          <w:sz w:val="32"/>
          <w:szCs w:val="32"/>
          <w:lang w:val="en-US" w:eastAsia="zh-CN"/>
        </w:rPr>
        <w:t>基本支出383.34万元，10个</w:t>
      </w:r>
      <w:r>
        <w:rPr>
          <w:rFonts w:hint="eastAsia" w:ascii="仿宋" w:hAnsi="仿宋" w:eastAsia="仿宋" w:cs="仿宋"/>
          <w:color w:val="auto"/>
          <w:sz w:val="32"/>
          <w:szCs w:val="32"/>
        </w:rPr>
        <w:t>项目支出</w:t>
      </w:r>
      <w:r>
        <w:rPr>
          <w:rFonts w:hint="eastAsia" w:ascii="仿宋" w:hAnsi="仿宋" w:eastAsia="仿宋" w:cs="仿宋"/>
          <w:sz w:val="32"/>
          <w:szCs w:val="32"/>
        </w:rPr>
        <w:t>合计金额4910.92</w:t>
      </w:r>
      <w:r>
        <w:rPr>
          <w:rFonts w:hint="eastAsia" w:ascii="仿宋" w:hAnsi="仿宋" w:eastAsia="仿宋" w:cs="仿宋"/>
          <w:sz w:val="32"/>
          <w:szCs w:val="32"/>
          <w:lang w:val="en-US" w:eastAsia="zh-CN"/>
        </w:rPr>
        <w:t>108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color w:val="auto"/>
          <w:sz w:val="32"/>
          <w:szCs w:val="32"/>
        </w:rPr>
        <w:t>主要为</w:t>
      </w:r>
      <w:r>
        <w:rPr>
          <w:rFonts w:hint="eastAsia" w:ascii="仿宋" w:hAnsi="仿宋" w:eastAsia="仿宋" w:cs="仿宋"/>
          <w:color w:val="auto"/>
          <w:sz w:val="32"/>
          <w:szCs w:val="32"/>
          <w:lang w:eastAsia="zh-CN"/>
        </w:rPr>
        <w:t>：</w:t>
      </w:r>
      <w:r>
        <w:rPr>
          <w:rFonts w:hint="eastAsia" w:ascii="仿宋" w:hAnsi="仿宋" w:eastAsia="仿宋" w:cs="仿宋"/>
          <w:sz w:val="32"/>
          <w:szCs w:val="32"/>
          <w:lang w:val="en-US" w:eastAsia="zh-CN"/>
        </w:rPr>
        <w:t>劳务派遣人员43.30121万元、残疾人就业补助金0.00483万元、</w:t>
      </w:r>
      <w:r>
        <w:rPr>
          <w:rFonts w:hint="eastAsia" w:ascii="仿宋" w:hAnsi="仿宋" w:eastAsia="仿宋" w:cs="仿宋"/>
          <w:sz w:val="32"/>
          <w:szCs w:val="32"/>
        </w:rPr>
        <w:t>县级配套医疗救助资金</w:t>
      </w:r>
      <w:r>
        <w:rPr>
          <w:rFonts w:hint="eastAsia" w:ascii="仿宋" w:hAnsi="仿宋" w:eastAsia="仿宋" w:cs="仿宋"/>
          <w:sz w:val="32"/>
          <w:szCs w:val="32"/>
          <w:lang w:val="en-US" w:eastAsia="zh-CN"/>
        </w:rPr>
        <w:t>12.88853</w:t>
      </w:r>
      <w:r>
        <w:rPr>
          <w:rFonts w:hint="eastAsia" w:ascii="仿宋" w:hAnsi="仿宋" w:eastAsia="仿宋" w:cs="仿宋"/>
          <w:sz w:val="32"/>
          <w:szCs w:val="32"/>
        </w:rPr>
        <w:t>万元、办公场地租赁费5万元、退役士兵安置费21.</w:t>
      </w:r>
      <w:r>
        <w:rPr>
          <w:rFonts w:hint="eastAsia" w:ascii="仿宋" w:hAnsi="仿宋" w:eastAsia="仿宋" w:cs="仿宋"/>
          <w:sz w:val="32"/>
          <w:szCs w:val="32"/>
          <w:lang w:val="en-US" w:eastAsia="zh-CN"/>
        </w:rPr>
        <w:t>63351</w:t>
      </w:r>
      <w:r>
        <w:rPr>
          <w:rFonts w:hint="eastAsia" w:ascii="仿宋" w:hAnsi="仿宋" w:eastAsia="仿宋" w:cs="仿宋"/>
          <w:sz w:val="32"/>
          <w:szCs w:val="32"/>
        </w:rPr>
        <w:t>万元、医保退休职工服务中心经费</w:t>
      </w:r>
      <w:r>
        <w:rPr>
          <w:rFonts w:hint="eastAsia" w:ascii="仿宋" w:hAnsi="仿宋" w:eastAsia="仿宋" w:cs="仿宋"/>
          <w:sz w:val="32"/>
          <w:szCs w:val="32"/>
          <w:lang w:val="en-US" w:eastAsia="zh-CN"/>
        </w:rPr>
        <w:t>0.6</w:t>
      </w:r>
      <w:r>
        <w:rPr>
          <w:rFonts w:hint="eastAsia" w:ascii="仿宋" w:hAnsi="仿宋" w:eastAsia="仿宋" w:cs="仿宋"/>
          <w:sz w:val="32"/>
          <w:szCs w:val="32"/>
        </w:rPr>
        <w:t>万元、医疗服务与保障能力提升补助26万元、2025年城乡居民基本医疗保险</w:t>
      </w:r>
      <w:r>
        <w:rPr>
          <w:rFonts w:hint="eastAsia" w:ascii="仿宋" w:hAnsi="仿宋" w:eastAsia="仿宋" w:cs="仿宋"/>
          <w:sz w:val="32"/>
          <w:szCs w:val="32"/>
          <w:lang w:val="en-US" w:eastAsia="zh-CN"/>
        </w:rPr>
        <w:t>4793.978</w:t>
      </w:r>
      <w:r>
        <w:rPr>
          <w:rFonts w:hint="eastAsia" w:ascii="仿宋" w:hAnsi="仿宋" w:eastAsia="仿宋" w:cs="仿宋"/>
          <w:sz w:val="32"/>
          <w:szCs w:val="32"/>
        </w:rPr>
        <w:t>万元、居民2022-2024.07月新冠疫苗及接种费用县级财政补助</w:t>
      </w:r>
      <w:r>
        <w:rPr>
          <w:rFonts w:hint="eastAsia" w:ascii="仿宋" w:hAnsi="仿宋" w:eastAsia="仿宋" w:cs="仿宋"/>
          <w:sz w:val="32"/>
          <w:szCs w:val="32"/>
          <w:lang w:val="en-US" w:eastAsia="zh-CN"/>
        </w:rPr>
        <w:t>1.515</w:t>
      </w:r>
      <w:r>
        <w:rPr>
          <w:rFonts w:hint="eastAsia" w:ascii="仿宋" w:hAnsi="仿宋" w:eastAsia="仿宋" w:cs="仿宋"/>
          <w:sz w:val="32"/>
          <w:szCs w:val="32"/>
        </w:rPr>
        <w:t>万元、网络经费6万元</w:t>
      </w:r>
      <w:r>
        <w:rPr>
          <w:rFonts w:hint="eastAsia" w:ascii="仿宋" w:hAnsi="仿宋" w:eastAsia="仿宋" w:cs="仿宋"/>
          <w:i w:val="0"/>
          <w:iCs w:val="0"/>
          <w:color w:val="000000"/>
          <w:kern w:val="0"/>
          <w:sz w:val="32"/>
          <w:szCs w:val="32"/>
          <w:u w:val="none"/>
          <w:lang w:val="en-US" w:eastAsia="zh-CN" w:bidi="ar"/>
        </w:rPr>
        <w:t>。</w:t>
      </w:r>
      <w:r>
        <w:rPr>
          <w:rFonts w:hint="eastAsia" w:ascii="仿宋" w:hAnsi="仿宋" w:eastAsia="仿宋" w:cs="仿宋"/>
          <w:color w:val="auto"/>
          <w:sz w:val="32"/>
          <w:szCs w:val="32"/>
          <w:lang w:val="en-US" w:eastAsia="zh-CN"/>
        </w:rPr>
        <w:t>上年</w:t>
      </w:r>
      <w:r>
        <w:rPr>
          <w:rFonts w:hint="eastAsia" w:ascii="仿宋" w:hAnsi="仿宋" w:eastAsia="仿宋" w:cs="仿宋"/>
          <w:color w:val="auto"/>
          <w:sz w:val="32"/>
          <w:szCs w:val="32"/>
        </w:rPr>
        <w:t>结转</w:t>
      </w:r>
      <w:r>
        <w:rPr>
          <w:rFonts w:hint="eastAsia" w:ascii="仿宋" w:hAnsi="仿宋" w:eastAsia="仿宋" w:cs="仿宋"/>
          <w:color w:val="auto"/>
          <w:sz w:val="32"/>
          <w:szCs w:val="32"/>
          <w:lang w:val="en-US" w:eastAsia="zh-CN"/>
        </w:rPr>
        <w:t>0</w:t>
      </w:r>
      <w:r>
        <w:rPr>
          <w:rFonts w:hint="eastAsia" w:ascii="仿宋" w:hAnsi="仿宋" w:eastAsia="仿宋" w:cs="仿宋"/>
          <w:color w:val="auto"/>
          <w:sz w:val="32"/>
          <w:szCs w:val="32"/>
        </w:rPr>
        <w:t>元，为一般公共预算支出。</w:t>
      </w:r>
    </w:p>
    <w:p w14:paraId="00D03683">
      <w:pPr>
        <w:keepNext w:val="0"/>
        <w:keepLines w:val="0"/>
        <w:pageBreakBefore w:val="0"/>
        <w:kinsoku/>
        <w:wordWrap/>
        <w:overflowPunct/>
        <w:topLinePunct w:val="0"/>
        <w:autoSpaceDE/>
        <w:autoSpaceDN/>
        <w:bidi w:val="0"/>
        <w:adjustRightInd w:val="0"/>
        <w:snapToGrid w:val="0"/>
        <w:spacing w:line="480" w:lineRule="auto"/>
        <w:ind w:firstLine="643" w:firstLineChars="200"/>
        <w:textAlignment w:val="auto"/>
        <w:rPr>
          <w:rFonts w:hint="eastAsia" w:ascii="仿宋" w:hAnsi="仿宋" w:eastAsia="仿宋" w:cs="仿宋"/>
          <w:bCs/>
          <w:sz w:val="32"/>
          <w:szCs w:val="32"/>
        </w:rPr>
      </w:pPr>
      <w:r>
        <w:rPr>
          <w:rFonts w:hint="eastAsia" w:ascii="仿宋" w:hAnsi="仿宋" w:eastAsia="仿宋" w:cs="仿宋"/>
          <w:b/>
          <w:bCs w:val="0"/>
          <w:sz w:val="32"/>
          <w:szCs w:val="32"/>
        </w:rPr>
        <w:t>（三）部门整体支出绩效目标、指标</w:t>
      </w:r>
    </w:p>
    <w:p w14:paraId="5272DD6A">
      <w:pPr>
        <w:keepNext w:val="0"/>
        <w:keepLines w:val="0"/>
        <w:pageBreakBefore w:val="0"/>
        <w:kinsoku/>
        <w:wordWrap/>
        <w:overflowPunct/>
        <w:topLinePunct w:val="0"/>
        <w:autoSpaceDE/>
        <w:autoSpaceDN/>
        <w:bidi w:val="0"/>
        <w:spacing w:line="48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按照国家、省、市、县医疗保障政策要求，贯彻落实城镇职工和</w:t>
      </w:r>
      <w:r>
        <w:rPr>
          <w:rFonts w:hint="eastAsia" w:ascii="仿宋" w:hAnsi="仿宋" w:eastAsia="仿宋" w:cs="仿宋"/>
          <w:sz w:val="32"/>
          <w:szCs w:val="32"/>
          <w:lang w:eastAsia="zh-CN"/>
        </w:rPr>
        <w:t>城乡居民基本医疗保险、</w:t>
      </w:r>
      <w:r>
        <w:rPr>
          <w:rFonts w:hint="eastAsia" w:ascii="仿宋" w:hAnsi="仿宋" w:eastAsia="仿宋" w:cs="仿宋"/>
          <w:sz w:val="32"/>
          <w:szCs w:val="32"/>
        </w:rPr>
        <w:t>医疗救助等法律法规</w:t>
      </w:r>
      <w:r>
        <w:rPr>
          <w:rFonts w:hint="eastAsia" w:ascii="仿宋" w:hAnsi="仿宋" w:eastAsia="仿宋" w:cs="仿宋"/>
          <w:sz w:val="32"/>
          <w:szCs w:val="32"/>
          <w:lang w:eastAsia="zh-CN"/>
        </w:rPr>
        <w:t>；</w:t>
      </w:r>
      <w:r>
        <w:rPr>
          <w:rFonts w:hint="eastAsia" w:ascii="仿宋" w:hAnsi="仿宋" w:eastAsia="仿宋" w:cs="仿宋"/>
          <w:sz w:val="32"/>
          <w:szCs w:val="32"/>
        </w:rPr>
        <w:t>组织实施医疗保障基金监管管理办法</w:t>
      </w:r>
      <w:r>
        <w:rPr>
          <w:rFonts w:hint="eastAsia" w:ascii="仿宋" w:hAnsi="仿宋" w:eastAsia="仿宋" w:cs="仿宋"/>
          <w:sz w:val="32"/>
          <w:szCs w:val="32"/>
          <w:lang w:eastAsia="zh-CN"/>
        </w:rPr>
        <w:t>，</w:t>
      </w:r>
      <w:r>
        <w:rPr>
          <w:rFonts w:hint="eastAsia" w:ascii="仿宋" w:hAnsi="仿宋" w:eastAsia="仿宋" w:cs="仿宋"/>
          <w:sz w:val="32"/>
          <w:szCs w:val="32"/>
        </w:rPr>
        <w:t>组织实施城镇职工、城乡居民参保筹资和保障待遇政策</w:t>
      </w:r>
      <w:r>
        <w:rPr>
          <w:rFonts w:hint="eastAsia" w:ascii="仿宋" w:hAnsi="仿宋" w:eastAsia="仿宋" w:cs="仿宋"/>
          <w:sz w:val="32"/>
          <w:szCs w:val="32"/>
          <w:lang w:eastAsia="zh-CN"/>
        </w:rPr>
        <w:t>；</w:t>
      </w:r>
      <w:r>
        <w:rPr>
          <w:rFonts w:hint="eastAsia" w:ascii="仿宋" w:hAnsi="仿宋" w:eastAsia="仿宋" w:cs="仿宋"/>
          <w:sz w:val="32"/>
          <w:szCs w:val="32"/>
        </w:rPr>
        <w:t>组织维护网络信息和智能监控平台，推进医疗保障基金支付方式改革。，组织实施全市药品、医用耗材的招标采购；依法管理药品、医用耗材、医疗服务价格并组织实施医保支付标准；落实全市定点医药机构协议和支付管理办法。监管管理定点医疗机构的医疗服务行为、医疗费用和医药价格，依法查处医疗保障领域违法违规行为。负责医疗保障经办管理、公共服务体系和信息化建设。组织实施异地就医管理和费用结算政策。以解决群众“看病难，看病贵”为目标，为人民群众提供基本医疗保障，提高医疗保障水平，减轻参保群众患病后的经济负担，提高人民群众健康水平。</w:t>
      </w:r>
    </w:p>
    <w:p w14:paraId="12B226E7">
      <w:pPr>
        <w:keepNext w:val="0"/>
        <w:keepLines w:val="0"/>
        <w:pageBreakBefore w:val="0"/>
        <w:kinsoku/>
        <w:wordWrap/>
        <w:overflowPunct/>
        <w:topLinePunct w:val="0"/>
        <w:autoSpaceDE/>
        <w:autoSpaceDN/>
        <w:bidi w:val="0"/>
        <w:spacing w:line="48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医疗保险方面：做到医疗保险参保扩面工作按时完成；医疗保险经办服务规范、方便、快捷；医疗费用报销及时、准确；医疗保险基金运行规范、安全、高效，收支平衡，略有结余；医疗保险定点医药机构服务规范、遵纪守法，良性发展。</w:t>
      </w:r>
    </w:p>
    <w:p w14:paraId="76A94906">
      <w:pPr>
        <w:keepNext w:val="0"/>
        <w:keepLines w:val="0"/>
        <w:pageBreakBefore w:val="0"/>
        <w:kinsoku/>
        <w:wordWrap/>
        <w:overflowPunct/>
        <w:topLinePunct w:val="0"/>
        <w:autoSpaceDE/>
        <w:autoSpaceDN/>
        <w:bidi w:val="0"/>
        <w:spacing w:line="48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医保扶贫和医疗救助方面：建档立卡贫困人口全部参加基本医疗保险；对建档立卡贫困人口、低保、五保、丧失劳动能力的一二级残疾人参加</w:t>
      </w:r>
      <w:r>
        <w:rPr>
          <w:rFonts w:hint="eastAsia" w:ascii="仿宋" w:hAnsi="仿宋" w:eastAsia="仿宋" w:cs="仿宋"/>
          <w:sz w:val="32"/>
          <w:szCs w:val="32"/>
          <w:lang w:eastAsia="zh-CN"/>
        </w:rPr>
        <w:t>城乡居民基本医疗保险</w:t>
      </w:r>
      <w:r>
        <w:rPr>
          <w:rFonts w:hint="eastAsia" w:ascii="仿宋" w:hAnsi="仿宋" w:eastAsia="仿宋" w:cs="仿宋"/>
          <w:sz w:val="32"/>
          <w:szCs w:val="32"/>
        </w:rPr>
        <w:t>的个人缴费全额资助；按照要求做好建档立卡贫困人口提高医疗保障待遇工作；按照要求做好重大疾病医疗救助工作。</w:t>
      </w:r>
    </w:p>
    <w:p w14:paraId="27384704">
      <w:pPr>
        <w:keepNext w:val="0"/>
        <w:keepLines w:val="0"/>
        <w:pageBreakBefore w:val="0"/>
        <w:kinsoku/>
        <w:wordWrap/>
        <w:overflowPunct/>
        <w:topLinePunct w:val="0"/>
        <w:autoSpaceDE/>
        <w:autoSpaceDN/>
        <w:bidi w:val="0"/>
        <w:adjustRightInd w:val="0"/>
        <w:snapToGrid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医药价格和药品招采、耗材零差率销售方面：贯彻落实上级医药价格政策，规范定点医药机构收费行为；按照上级要求做好药品招采、耗材零差率工作，切实减轻参保群众就医负担。</w:t>
      </w:r>
    </w:p>
    <w:p w14:paraId="3D41A017">
      <w:pPr>
        <w:keepNext w:val="0"/>
        <w:keepLines w:val="0"/>
        <w:pageBreakBefore w:val="0"/>
        <w:kinsoku/>
        <w:wordWrap/>
        <w:overflowPunct/>
        <w:topLinePunct w:val="0"/>
        <w:autoSpaceDE/>
        <w:autoSpaceDN/>
        <w:bidi w:val="0"/>
        <w:adjustRightInd w:val="0"/>
        <w:snapToGrid w:val="0"/>
        <w:spacing w:line="480" w:lineRule="auto"/>
        <w:textAlignment w:val="auto"/>
        <w:rPr>
          <w:rFonts w:hint="eastAsia" w:ascii="仿宋" w:hAnsi="仿宋" w:eastAsia="仿宋" w:cs="仿宋"/>
          <w:b/>
          <w:bCs/>
          <w:sz w:val="32"/>
          <w:szCs w:val="32"/>
        </w:rPr>
      </w:pPr>
      <w:r>
        <w:rPr>
          <w:rFonts w:hint="eastAsia" w:ascii="仿宋" w:hAnsi="仿宋" w:eastAsia="仿宋" w:cs="仿宋"/>
          <w:b/>
          <w:bCs/>
          <w:sz w:val="32"/>
          <w:szCs w:val="32"/>
        </w:rPr>
        <w:t>二、自评工作开展情况</w:t>
      </w:r>
    </w:p>
    <w:p w14:paraId="5DEEA31E">
      <w:pPr>
        <w:keepNext w:val="0"/>
        <w:keepLines w:val="0"/>
        <w:pageBreakBefore w:val="0"/>
        <w:kinsoku/>
        <w:wordWrap/>
        <w:overflowPunct/>
        <w:topLinePunct w:val="0"/>
        <w:autoSpaceDE/>
        <w:autoSpaceDN/>
        <w:bidi w:val="0"/>
        <w:spacing w:line="480" w:lineRule="auto"/>
        <w:ind w:firstLine="643" w:firstLineChars="200"/>
        <w:textAlignment w:val="auto"/>
        <w:rPr>
          <w:rFonts w:hint="eastAsia" w:ascii="仿宋" w:hAnsi="仿宋" w:eastAsia="仿宋" w:cs="仿宋"/>
          <w:b/>
          <w:bCs w:val="0"/>
          <w:sz w:val="32"/>
          <w:szCs w:val="32"/>
        </w:rPr>
      </w:pPr>
      <w:r>
        <w:rPr>
          <w:rFonts w:hint="eastAsia" w:ascii="仿宋" w:hAnsi="仿宋" w:eastAsia="仿宋" w:cs="仿宋"/>
          <w:b/>
          <w:bCs w:val="0"/>
          <w:sz w:val="32"/>
          <w:szCs w:val="32"/>
        </w:rPr>
        <w:t>（一）自评的组织工作</w:t>
      </w:r>
    </w:p>
    <w:p w14:paraId="20529554">
      <w:pPr>
        <w:keepNext w:val="0"/>
        <w:keepLines w:val="0"/>
        <w:pageBreakBefore w:val="0"/>
        <w:kinsoku/>
        <w:wordWrap/>
        <w:overflowPunct/>
        <w:topLinePunct w:val="0"/>
        <w:autoSpaceDE/>
        <w:autoSpaceDN/>
        <w:bidi w:val="0"/>
        <w:spacing w:line="480" w:lineRule="auto"/>
        <w:ind w:firstLine="633" w:firstLineChars="198"/>
        <w:textAlignment w:val="auto"/>
        <w:rPr>
          <w:rFonts w:hint="eastAsia" w:ascii="仿宋" w:hAnsi="仿宋" w:eastAsia="仿宋" w:cs="仿宋"/>
          <w:bCs/>
          <w:sz w:val="32"/>
          <w:szCs w:val="32"/>
        </w:rPr>
      </w:pPr>
      <w:r>
        <w:rPr>
          <w:rFonts w:hint="eastAsia" w:ascii="仿宋" w:hAnsi="仿宋" w:eastAsia="仿宋" w:cs="仿宋"/>
          <w:sz w:val="32"/>
          <w:szCs w:val="32"/>
        </w:rPr>
        <w:t xml:space="preserve"> </w:t>
      </w:r>
      <w:r>
        <w:rPr>
          <w:rFonts w:hint="eastAsia" w:ascii="仿宋" w:hAnsi="仿宋" w:eastAsia="仿宋" w:cs="仿宋"/>
          <w:color w:val="333333"/>
          <w:kern w:val="0"/>
          <w:sz w:val="32"/>
          <w:szCs w:val="32"/>
        </w:rPr>
        <w:t>我局高度重视此项预算项目绩效自评工作，积极开展，认真部署，</w:t>
      </w:r>
      <w:r>
        <w:rPr>
          <w:rFonts w:hint="eastAsia" w:ascii="仿宋" w:hAnsi="仿宋" w:eastAsia="仿宋" w:cs="仿宋"/>
          <w:sz w:val="32"/>
          <w:szCs w:val="32"/>
        </w:rPr>
        <w:t>成立了绩效评价工作小组，主管局长为组长，相关股室负责人为成员，负责绩效评价的组织管理和实施工作。</w:t>
      </w:r>
    </w:p>
    <w:p w14:paraId="11CC757E">
      <w:pPr>
        <w:keepNext w:val="0"/>
        <w:keepLines w:val="0"/>
        <w:pageBreakBefore w:val="0"/>
        <w:kinsoku/>
        <w:wordWrap/>
        <w:overflowPunct/>
        <w:topLinePunct w:val="0"/>
        <w:autoSpaceDE/>
        <w:autoSpaceDN/>
        <w:bidi w:val="0"/>
        <w:spacing w:line="480" w:lineRule="auto"/>
        <w:textAlignment w:val="auto"/>
        <w:rPr>
          <w:rFonts w:hint="eastAsia" w:ascii="仿宋" w:hAnsi="仿宋" w:eastAsia="仿宋" w:cs="仿宋"/>
          <w:sz w:val="32"/>
          <w:szCs w:val="32"/>
        </w:rPr>
      </w:pPr>
    </w:p>
    <w:p w14:paraId="39DBC62B">
      <w:pPr>
        <w:keepNext w:val="0"/>
        <w:keepLines w:val="0"/>
        <w:pageBreakBefore w:val="0"/>
        <w:numPr>
          <w:ilvl w:val="0"/>
          <w:numId w:val="2"/>
        </w:numPr>
        <w:kinsoku/>
        <w:wordWrap/>
        <w:overflowPunct/>
        <w:topLinePunct w:val="0"/>
        <w:autoSpaceDE/>
        <w:autoSpaceDN/>
        <w:bidi w:val="0"/>
        <w:spacing w:line="480" w:lineRule="auto"/>
        <w:textAlignment w:val="auto"/>
        <w:rPr>
          <w:rFonts w:hint="eastAsia" w:ascii="仿宋" w:hAnsi="仿宋" w:eastAsia="仿宋" w:cs="仿宋"/>
          <w:b/>
          <w:bCs w:val="0"/>
          <w:sz w:val="32"/>
          <w:szCs w:val="32"/>
        </w:rPr>
      </w:pPr>
      <w:r>
        <w:rPr>
          <w:rFonts w:hint="eastAsia" w:ascii="仿宋" w:hAnsi="仿宋" w:eastAsia="仿宋" w:cs="仿宋"/>
          <w:b/>
          <w:bCs w:val="0"/>
          <w:sz w:val="32"/>
          <w:szCs w:val="32"/>
        </w:rPr>
        <w:t>自评的方法和过程</w:t>
      </w:r>
    </w:p>
    <w:p w14:paraId="53F11E24">
      <w:pPr>
        <w:keepNext w:val="0"/>
        <w:keepLines w:val="0"/>
        <w:pageBreakBefore w:val="0"/>
        <w:kinsoku/>
        <w:wordWrap/>
        <w:overflowPunct/>
        <w:topLinePunct w:val="0"/>
        <w:autoSpaceDE/>
        <w:autoSpaceDN/>
        <w:bidi w:val="0"/>
        <w:spacing w:line="48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财务人员通过财政一体化平台导出202</w:t>
      </w:r>
      <w:r>
        <w:rPr>
          <w:rFonts w:hint="eastAsia" w:ascii="仿宋" w:hAnsi="仿宋" w:eastAsia="仿宋" w:cs="仿宋"/>
          <w:sz w:val="32"/>
          <w:szCs w:val="32"/>
          <w:lang w:val="en-US" w:eastAsia="zh-CN"/>
        </w:rPr>
        <w:t>5</w:t>
      </w:r>
      <w:r>
        <w:rPr>
          <w:rFonts w:hint="eastAsia" w:ascii="仿宋" w:hAnsi="仿宋" w:eastAsia="仿宋" w:cs="仿宋"/>
          <w:sz w:val="32"/>
          <w:szCs w:val="32"/>
        </w:rPr>
        <w:t>年全部项目的绩效目标指标数据和预算项目支出明细账分发给绩效自评工作办公室。根据责任需要，协助查阅相关支付凭证和单据。</w:t>
      </w:r>
    </w:p>
    <w:p w14:paraId="292CE545">
      <w:pPr>
        <w:keepNext w:val="0"/>
        <w:keepLines w:val="0"/>
        <w:pageBreakBefore w:val="0"/>
        <w:kinsoku/>
        <w:wordWrap/>
        <w:overflowPunct/>
        <w:topLinePunct w:val="0"/>
        <w:autoSpaceDE/>
        <w:autoSpaceDN/>
        <w:bidi w:val="0"/>
        <w:spacing w:line="480" w:lineRule="auto"/>
        <w:ind w:firstLine="640" w:firstLineChars="200"/>
        <w:jc w:val="left"/>
        <w:textAlignment w:val="auto"/>
        <w:rPr>
          <w:rFonts w:hint="eastAsia" w:ascii="仿宋" w:hAnsi="仿宋" w:eastAsia="仿宋" w:cs="仿宋"/>
          <w:b/>
          <w:bCs/>
          <w:sz w:val="32"/>
          <w:szCs w:val="32"/>
        </w:rPr>
      </w:pPr>
      <w:r>
        <w:rPr>
          <w:rFonts w:hint="eastAsia" w:ascii="仿宋" w:hAnsi="仿宋" w:eastAsia="仿宋" w:cs="仿宋"/>
          <w:sz w:val="32"/>
          <w:szCs w:val="32"/>
        </w:rPr>
        <w:t>财务室根据年初填报的《绩效目标申报表》，对本处室负责的项目分别编写《预算项目绩效自评表》并逐项开展自评。全部项目自评完成后，财务室根据整体自评情况填写《自评工作考核表》并形成《年度绩效自评工作报告》。自评结果及相关材料于</w:t>
      </w:r>
      <w:r>
        <w:rPr>
          <w:rFonts w:hint="eastAsia" w:ascii="仿宋" w:hAnsi="仿宋" w:eastAsia="仿宋" w:cs="仿宋"/>
          <w:sz w:val="32"/>
          <w:szCs w:val="32"/>
          <w:lang w:val="en-US" w:eastAsia="zh-CN"/>
        </w:rPr>
        <w:t>5</w:t>
      </w:r>
      <w:r>
        <w:rPr>
          <w:rFonts w:hint="eastAsia" w:ascii="仿宋" w:hAnsi="仿宋" w:eastAsia="仿宋" w:cs="仿宋"/>
          <w:sz w:val="32"/>
          <w:szCs w:val="32"/>
        </w:rPr>
        <w:t>月</w:t>
      </w:r>
      <w:r>
        <w:rPr>
          <w:rFonts w:hint="eastAsia" w:ascii="仿宋" w:hAnsi="仿宋" w:eastAsia="仿宋" w:cs="仿宋"/>
          <w:sz w:val="32"/>
          <w:szCs w:val="32"/>
          <w:lang w:val="en-US" w:eastAsia="zh-CN"/>
        </w:rPr>
        <w:t>30</w:t>
      </w:r>
      <w:r>
        <w:rPr>
          <w:rFonts w:hint="eastAsia" w:ascii="仿宋" w:hAnsi="仿宋" w:eastAsia="仿宋" w:cs="仿宋"/>
          <w:sz w:val="32"/>
          <w:szCs w:val="32"/>
        </w:rPr>
        <w:t>日前上报县财政局，由县财政局在县政府网站进行公开。</w:t>
      </w:r>
    </w:p>
    <w:p w14:paraId="6259273F">
      <w:pPr>
        <w:keepNext w:val="0"/>
        <w:keepLines w:val="0"/>
        <w:pageBreakBefore w:val="0"/>
        <w:kinsoku/>
        <w:wordWrap/>
        <w:overflowPunct/>
        <w:topLinePunct w:val="0"/>
        <w:autoSpaceDE/>
        <w:autoSpaceDN/>
        <w:bidi w:val="0"/>
        <w:spacing w:line="480" w:lineRule="auto"/>
        <w:textAlignment w:val="auto"/>
        <w:rPr>
          <w:rFonts w:hint="eastAsia" w:ascii="仿宋" w:hAnsi="仿宋" w:eastAsia="仿宋" w:cs="仿宋"/>
          <w:b/>
          <w:bCs/>
          <w:sz w:val="32"/>
          <w:szCs w:val="32"/>
        </w:rPr>
      </w:pPr>
      <w:r>
        <w:rPr>
          <w:rFonts w:hint="eastAsia" w:ascii="仿宋" w:hAnsi="仿宋" w:eastAsia="仿宋" w:cs="仿宋"/>
          <w:b/>
          <w:bCs/>
          <w:sz w:val="32"/>
          <w:szCs w:val="32"/>
        </w:rPr>
        <w:t>三、部门整体支出绩效目标实现情况及指标分析</w:t>
      </w:r>
    </w:p>
    <w:p w14:paraId="39A76361">
      <w:pPr>
        <w:keepNext w:val="0"/>
        <w:keepLines w:val="0"/>
        <w:pageBreakBefore w:val="0"/>
        <w:numPr>
          <w:ilvl w:val="0"/>
          <w:numId w:val="3"/>
        </w:numPr>
        <w:kinsoku/>
        <w:wordWrap/>
        <w:overflowPunct/>
        <w:topLinePunct w:val="0"/>
        <w:autoSpaceDE/>
        <w:autoSpaceDN/>
        <w:bidi w:val="0"/>
        <w:spacing w:line="480" w:lineRule="auto"/>
        <w:ind w:firstLine="643" w:firstLineChars="200"/>
        <w:textAlignment w:val="auto"/>
        <w:rPr>
          <w:rFonts w:hint="eastAsia" w:ascii="仿宋" w:hAnsi="仿宋" w:eastAsia="仿宋" w:cs="仿宋"/>
          <w:b/>
          <w:bCs w:val="0"/>
          <w:sz w:val="32"/>
          <w:szCs w:val="32"/>
        </w:rPr>
      </w:pPr>
      <w:r>
        <w:rPr>
          <w:rFonts w:hint="eastAsia" w:ascii="仿宋" w:hAnsi="仿宋" w:eastAsia="仿宋" w:cs="仿宋"/>
          <w:b/>
          <w:bCs w:val="0"/>
          <w:sz w:val="32"/>
          <w:szCs w:val="32"/>
        </w:rPr>
        <w:t>总体绩效目标实现情况</w:t>
      </w:r>
    </w:p>
    <w:p w14:paraId="5AFBE972">
      <w:pPr>
        <w:keepNext w:val="0"/>
        <w:keepLines w:val="0"/>
        <w:pageBreakBefore w:val="0"/>
        <w:kinsoku/>
        <w:wordWrap/>
        <w:overflowPunct/>
        <w:topLinePunct w:val="0"/>
        <w:autoSpaceDE/>
        <w:autoSpaceDN/>
        <w:bidi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根据局年初工作规划和重点工作，围绕县委、县政府要求，较好的完成了年度目标工作。通过加强预算收支管理，不断健全内部管理制度，部门整体支出管理情况得到提升，支出总额控制在预算总额以内。</w:t>
      </w:r>
    </w:p>
    <w:p w14:paraId="2D00C909">
      <w:pPr>
        <w:keepNext w:val="0"/>
        <w:keepLines w:val="0"/>
        <w:pageBreakBefore w:val="0"/>
        <w:kinsoku/>
        <w:wordWrap/>
        <w:overflowPunct/>
        <w:topLinePunct w:val="0"/>
        <w:autoSpaceDE/>
        <w:autoSpaceDN/>
        <w:bidi w:val="0"/>
        <w:spacing w:line="480" w:lineRule="auto"/>
        <w:ind w:firstLine="643" w:firstLineChars="200"/>
        <w:textAlignment w:val="auto"/>
        <w:rPr>
          <w:rFonts w:hint="eastAsia" w:ascii="仿宋" w:hAnsi="仿宋" w:eastAsia="仿宋" w:cs="仿宋"/>
          <w:b/>
          <w:bCs w:val="0"/>
          <w:sz w:val="32"/>
          <w:szCs w:val="32"/>
        </w:rPr>
      </w:pPr>
      <w:r>
        <w:rPr>
          <w:rFonts w:hint="eastAsia" w:ascii="仿宋" w:hAnsi="仿宋" w:eastAsia="仿宋" w:cs="仿宋"/>
          <w:b/>
          <w:bCs w:val="0"/>
          <w:sz w:val="32"/>
          <w:szCs w:val="32"/>
        </w:rPr>
        <w:t>（二）分项绩效目标实现情况及指标分析</w:t>
      </w:r>
    </w:p>
    <w:p w14:paraId="75DE87F0">
      <w:pPr>
        <w:keepNext w:val="0"/>
        <w:keepLines w:val="0"/>
        <w:pageBreakBefore w:val="0"/>
        <w:kinsoku/>
        <w:wordWrap/>
        <w:overflowPunct/>
        <w:topLinePunct w:val="0"/>
        <w:autoSpaceDE/>
        <w:autoSpaceDN/>
        <w:bidi w:val="0"/>
        <w:spacing w:line="48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医保扶贫和医疗救助方面：建档立卡贫困人口全部参加基本医疗保险；对建档立卡贫困人口、低保、五保、丧失劳动能力的一二级残疾人参加</w:t>
      </w:r>
      <w:r>
        <w:rPr>
          <w:rFonts w:hint="eastAsia" w:ascii="仿宋" w:hAnsi="仿宋" w:eastAsia="仿宋" w:cs="仿宋"/>
          <w:sz w:val="32"/>
          <w:szCs w:val="32"/>
          <w:lang w:eastAsia="zh-CN"/>
        </w:rPr>
        <w:t>城乡居民基本医疗保险</w:t>
      </w:r>
      <w:r>
        <w:rPr>
          <w:rFonts w:hint="eastAsia" w:ascii="仿宋" w:hAnsi="仿宋" w:eastAsia="仿宋" w:cs="仿宋"/>
          <w:sz w:val="32"/>
          <w:szCs w:val="32"/>
        </w:rPr>
        <w:t>的个人缴费资助；按照要求做好建档立卡贫困人口提高医疗保障待遇工作；按照要求做好重大疾病医疗救助工作。202</w:t>
      </w:r>
      <w:r>
        <w:rPr>
          <w:rFonts w:hint="eastAsia" w:ascii="仿宋" w:hAnsi="仿宋" w:eastAsia="仿宋" w:cs="仿宋"/>
          <w:sz w:val="32"/>
          <w:szCs w:val="32"/>
          <w:lang w:val="en-US" w:eastAsia="zh-CN"/>
        </w:rPr>
        <w:t>5</w:t>
      </w:r>
      <w:r>
        <w:rPr>
          <w:rFonts w:hint="eastAsia" w:ascii="仿宋" w:hAnsi="仿宋" w:eastAsia="仿宋" w:cs="仿宋"/>
          <w:sz w:val="32"/>
          <w:szCs w:val="32"/>
        </w:rPr>
        <w:t>年县级配套城乡医疗救助</w:t>
      </w:r>
      <w:r>
        <w:rPr>
          <w:rFonts w:hint="eastAsia" w:ascii="仿宋" w:hAnsi="仿宋" w:eastAsia="仿宋" w:cs="仿宋"/>
          <w:sz w:val="32"/>
          <w:szCs w:val="32"/>
          <w:lang w:val="en-US" w:eastAsia="zh-CN"/>
        </w:rPr>
        <w:t>184.61</w:t>
      </w:r>
      <w:r>
        <w:rPr>
          <w:rFonts w:hint="eastAsia" w:ascii="仿宋" w:hAnsi="仿宋" w:eastAsia="仿宋" w:cs="仿宋"/>
          <w:sz w:val="32"/>
          <w:szCs w:val="32"/>
        </w:rPr>
        <w:t>万元，</w:t>
      </w:r>
      <w:r>
        <w:rPr>
          <w:rFonts w:hint="eastAsia" w:ascii="仿宋" w:hAnsi="仿宋" w:eastAsia="仿宋" w:cs="仿宋"/>
          <w:sz w:val="32"/>
          <w:szCs w:val="32"/>
          <w:lang w:val="en-US" w:eastAsia="zh-CN"/>
        </w:rPr>
        <w:t>完成年初预算7%，执行支出12.88853万元，上解清算医疗救助参保缴费补助资金差额。</w:t>
      </w:r>
      <w:r>
        <w:rPr>
          <w:rFonts w:hint="eastAsia" w:ascii="仿宋" w:hAnsi="仿宋" w:eastAsia="仿宋" w:cs="仿宋"/>
          <w:sz w:val="32"/>
          <w:szCs w:val="32"/>
        </w:rPr>
        <w:t>绩效目标： 对经基本医疗保险报销后符合重特大疾病救助范围人员给予救助。绩效指标：符合救助条件的申请人救助率100%。</w:t>
      </w:r>
    </w:p>
    <w:p w14:paraId="7B4AA419">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p>
    <w:p w14:paraId="6C57542E">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r>
        <w:rPr>
          <w:rFonts w:hint="eastAsia" w:ascii="仿宋" w:hAnsi="仿宋" w:eastAsia="仿宋" w:cs="仿宋"/>
          <w:sz w:val="32"/>
          <w:szCs w:val="32"/>
        </w:rPr>
        <w:t>退役士兵安置</w:t>
      </w:r>
      <w:r>
        <w:rPr>
          <w:rFonts w:hint="eastAsia" w:ascii="仿宋" w:hAnsi="仿宋" w:eastAsia="仿宋" w:cs="仿宋"/>
          <w:sz w:val="32"/>
          <w:szCs w:val="32"/>
          <w:lang w:val="en-US" w:eastAsia="zh-CN"/>
        </w:rPr>
        <w:t>年初预算21.8</w:t>
      </w:r>
      <w:r>
        <w:rPr>
          <w:rFonts w:hint="eastAsia" w:ascii="仿宋" w:hAnsi="仿宋" w:eastAsia="仿宋" w:cs="仿宋"/>
          <w:sz w:val="32"/>
          <w:szCs w:val="32"/>
        </w:rPr>
        <w:t>万元，</w:t>
      </w:r>
      <w:r>
        <w:rPr>
          <w:rFonts w:hint="eastAsia" w:ascii="仿宋" w:hAnsi="仿宋" w:eastAsia="仿宋" w:cs="仿宋"/>
          <w:sz w:val="32"/>
          <w:szCs w:val="32"/>
          <w:lang w:val="en-US" w:eastAsia="zh-CN"/>
        </w:rPr>
        <w:t>完成年初预算98%，执行支出21.63351万元。</w:t>
      </w:r>
      <w:r>
        <w:rPr>
          <w:rFonts w:hint="eastAsia" w:ascii="仿宋" w:hAnsi="仿宋" w:eastAsia="仿宋" w:cs="仿宋"/>
          <w:sz w:val="32"/>
          <w:szCs w:val="32"/>
        </w:rPr>
        <w:t>绩效目标：保障退役安置人员工资正常发放。绩效指标：足额发放工资、满意度达98%以上。总体绩效目标完成率100%。</w:t>
      </w:r>
    </w:p>
    <w:p w14:paraId="12C48466">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p>
    <w:p w14:paraId="1F6ED4C1">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r>
        <w:rPr>
          <w:rFonts w:hint="eastAsia" w:ascii="仿宋" w:hAnsi="仿宋" w:eastAsia="仿宋" w:cs="仿宋"/>
          <w:sz w:val="32"/>
          <w:szCs w:val="32"/>
        </w:rPr>
        <w:t>劳务派遣人员经费</w:t>
      </w:r>
      <w:r>
        <w:rPr>
          <w:rFonts w:hint="eastAsia" w:ascii="仿宋" w:hAnsi="仿宋" w:eastAsia="仿宋" w:cs="仿宋"/>
          <w:sz w:val="32"/>
          <w:szCs w:val="32"/>
          <w:lang w:val="en-US" w:eastAsia="zh-CN"/>
        </w:rPr>
        <w:t>执行支出43.30121</w:t>
      </w:r>
      <w:r>
        <w:rPr>
          <w:rFonts w:hint="eastAsia" w:ascii="仿宋" w:hAnsi="仿宋" w:eastAsia="仿宋" w:cs="仿宋"/>
          <w:sz w:val="32"/>
          <w:szCs w:val="32"/>
        </w:rPr>
        <w:t>万元，绩效目标：保障劳务派遣人员工资正常发放。绩效指标：</w:t>
      </w:r>
      <w:r>
        <w:rPr>
          <w:rFonts w:hint="eastAsia" w:ascii="仿宋" w:hAnsi="仿宋" w:eastAsia="仿宋" w:cs="仿宋"/>
          <w:sz w:val="32"/>
          <w:szCs w:val="32"/>
          <w:lang w:val="en-US" w:eastAsia="zh-CN"/>
        </w:rPr>
        <w:t>劳务派遣人员10人</w:t>
      </w:r>
      <w:r>
        <w:rPr>
          <w:rFonts w:hint="eastAsia" w:ascii="仿宋" w:hAnsi="仿宋" w:eastAsia="仿宋" w:cs="仿宋"/>
          <w:sz w:val="32"/>
          <w:szCs w:val="32"/>
        </w:rPr>
        <w:t>足额发放工资、满意度达98%以上。总体绩效目标完成率100%。</w:t>
      </w:r>
    </w:p>
    <w:p w14:paraId="6720CAB8">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p>
    <w:p w14:paraId="4A1B613E">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p>
    <w:p w14:paraId="239D429C">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r>
        <w:rPr>
          <w:rFonts w:hint="eastAsia" w:ascii="仿宋" w:hAnsi="仿宋" w:eastAsia="仿宋" w:cs="仿宋"/>
          <w:sz w:val="32"/>
          <w:szCs w:val="32"/>
        </w:rPr>
        <w:t>办公场所租赁费5万元，绩效目标：保障医保日常业务正常运行。绩效指标：群众满意度达95%以上。总体绩效目标完成率100%。</w:t>
      </w:r>
    </w:p>
    <w:p w14:paraId="08BF0E83">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p>
    <w:p w14:paraId="181C04CA">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r>
        <w:rPr>
          <w:rFonts w:hint="eastAsia" w:ascii="仿宋" w:hAnsi="仿宋" w:eastAsia="仿宋" w:cs="仿宋"/>
          <w:sz w:val="32"/>
          <w:szCs w:val="32"/>
        </w:rPr>
        <w:t>医保经办示范工程试点建设经费</w:t>
      </w:r>
      <w:r>
        <w:rPr>
          <w:rFonts w:hint="eastAsia" w:ascii="仿宋" w:hAnsi="仿宋" w:eastAsia="仿宋" w:cs="仿宋"/>
          <w:sz w:val="32"/>
          <w:szCs w:val="32"/>
          <w:lang w:val="en-US" w:eastAsia="zh-CN"/>
        </w:rPr>
        <w:t>7.2</w:t>
      </w:r>
      <w:r>
        <w:rPr>
          <w:rFonts w:hint="eastAsia" w:ascii="仿宋" w:hAnsi="仿宋" w:eastAsia="仿宋" w:cs="仿宋"/>
          <w:sz w:val="32"/>
          <w:szCs w:val="32"/>
        </w:rPr>
        <w:t>万元，绩效目标：提升医保经办能力建设明显提高。绩效指标：群众满意度达95%以上。总体绩效目标完成率100%。</w:t>
      </w:r>
    </w:p>
    <w:p w14:paraId="2E19A6A6">
      <w:pPr>
        <w:keepNext w:val="0"/>
        <w:keepLines w:val="0"/>
        <w:pageBreakBefore w:val="0"/>
        <w:kinsoku/>
        <w:wordWrap/>
        <w:overflowPunct/>
        <w:topLinePunct w:val="0"/>
        <w:autoSpaceDE/>
        <w:autoSpaceDN/>
        <w:bidi w:val="0"/>
        <w:spacing w:line="480" w:lineRule="auto"/>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  </w:t>
      </w:r>
    </w:p>
    <w:p w14:paraId="3366B8AA">
      <w:pPr>
        <w:keepNext w:val="0"/>
        <w:keepLines w:val="0"/>
        <w:pageBreakBefore w:val="0"/>
        <w:kinsoku/>
        <w:wordWrap/>
        <w:overflowPunct/>
        <w:topLinePunct w:val="0"/>
        <w:autoSpaceDE/>
        <w:autoSpaceDN/>
        <w:bidi w:val="0"/>
        <w:spacing w:line="480" w:lineRule="auto"/>
        <w:jc w:val="left"/>
        <w:textAlignment w:val="auto"/>
        <w:rPr>
          <w:rFonts w:hint="eastAsia" w:ascii="仿宋" w:hAnsi="仿宋" w:eastAsia="仿宋" w:cs="仿宋"/>
          <w:color w:val="000000"/>
          <w:kern w:val="0"/>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年中央财政医疗服务与保障能力提升资金2</w:t>
      </w:r>
      <w:r>
        <w:rPr>
          <w:rFonts w:hint="eastAsia" w:ascii="仿宋" w:hAnsi="仿宋" w:eastAsia="仿宋" w:cs="仿宋"/>
          <w:sz w:val="32"/>
          <w:szCs w:val="32"/>
          <w:lang w:val="en-US" w:eastAsia="zh-CN"/>
        </w:rPr>
        <w:t>6</w:t>
      </w:r>
      <w:r>
        <w:rPr>
          <w:rFonts w:hint="eastAsia" w:ascii="仿宋" w:hAnsi="仿宋" w:eastAsia="仿宋" w:cs="仿宋"/>
          <w:sz w:val="32"/>
          <w:szCs w:val="32"/>
        </w:rPr>
        <w:t>万元，绩效目标：县域内定点医药机构监督检查全覆盖。绩效指标：</w:t>
      </w:r>
      <w:r>
        <w:rPr>
          <w:rFonts w:hint="eastAsia" w:ascii="仿宋" w:hAnsi="仿宋" w:eastAsia="仿宋" w:cs="仿宋"/>
          <w:color w:val="000000"/>
          <w:kern w:val="0"/>
          <w:sz w:val="32"/>
          <w:szCs w:val="32"/>
        </w:rPr>
        <w:t>医保信息系统验收合格率大90%以上；</w:t>
      </w:r>
      <w:r>
        <w:rPr>
          <w:rFonts w:hint="eastAsia" w:ascii="仿宋" w:hAnsi="仿宋" w:eastAsia="仿宋" w:cs="仿宋"/>
          <w:sz w:val="32"/>
          <w:szCs w:val="32"/>
        </w:rPr>
        <w:t>县域内定点医药机构监督检查覆盖率达100%。总体绩效目标完成率100%。</w:t>
      </w:r>
    </w:p>
    <w:p w14:paraId="507260BE">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p>
    <w:p w14:paraId="739DA3DB">
      <w:pPr>
        <w:keepNext w:val="0"/>
        <w:keepLines w:val="0"/>
        <w:pageBreakBefore w:val="0"/>
        <w:kinsoku/>
        <w:wordWrap/>
        <w:overflowPunct/>
        <w:topLinePunct w:val="0"/>
        <w:autoSpaceDE/>
        <w:autoSpaceDN/>
        <w:bidi w:val="0"/>
        <w:spacing w:line="480" w:lineRule="auto"/>
        <w:ind w:firstLine="560"/>
        <w:jc w:val="left"/>
        <w:textAlignment w:val="auto"/>
        <w:rPr>
          <w:rFonts w:hint="eastAsia" w:ascii="仿宋" w:hAnsi="仿宋" w:eastAsia="仿宋" w:cs="仿宋"/>
          <w:sz w:val="32"/>
          <w:szCs w:val="32"/>
        </w:rPr>
      </w:pPr>
      <w:r>
        <w:rPr>
          <w:rFonts w:hint="eastAsia" w:ascii="仿宋" w:hAnsi="仿宋" w:eastAsia="仿宋" w:cs="仿宋"/>
          <w:sz w:val="32"/>
          <w:szCs w:val="32"/>
        </w:rPr>
        <w:t>医保退休职工服务中心经费</w:t>
      </w:r>
      <w:r>
        <w:rPr>
          <w:rFonts w:hint="eastAsia" w:ascii="仿宋" w:hAnsi="仿宋" w:eastAsia="仿宋" w:cs="仿宋"/>
          <w:sz w:val="32"/>
          <w:szCs w:val="32"/>
          <w:lang w:val="en-US" w:eastAsia="zh-CN"/>
        </w:rPr>
        <w:t>3.6</w:t>
      </w:r>
      <w:r>
        <w:rPr>
          <w:rFonts w:hint="eastAsia" w:ascii="仿宋" w:hAnsi="仿宋" w:eastAsia="仿宋" w:cs="仿宋"/>
          <w:sz w:val="32"/>
          <w:szCs w:val="32"/>
        </w:rPr>
        <w:t>万元，绩效目标：保障退休人员医保办理便捷，绩效指标：受众群众满意度达98%。总体绩效目标完成率100%。</w:t>
      </w:r>
    </w:p>
    <w:p w14:paraId="6F3CCD92">
      <w:pPr>
        <w:keepNext w:val="0"/>
        <w:keepLines w:val="0"/>
        <w:pageBreakBefore w:val="0"/>
        <w:kinsoku/>
        <w:wordWrap/>
        <w:overflowPunct/>
        <w:topLinePunct w:val="0"/>
        <w:autoSpaceDE/>
        <w:autoSpaceDN/>
        <w:bidi w:val="0"/>
        <w:spacing w:line="480" w:lineRule="auto"/>
        <w:ind w:firstLine="640" w:firstLineChars="200"/>
        <w:jc w:val="left"/>
        <w:textAlignment w:val="auto"/>
        <w:rPr>
          <w:rFonts w:hint="eastAsia" w:ascii="仿宋" w:hAnsi="仿宋" w:eastAsia="仿宋" w:cs="仿宋"/>
          <w:sz w:val="32"/>
          <w:szCs w:val="32"/>
          <w:lang w:val="zh-CN"/>
        </w:rPr>
      </w:pPr>
    </w:p>
    <w:p w14:paraId="147F5199">
      <w:pPr>
        <w:keepNext w:val="0"/>
        <w:keepLines w:val="0"/>
        <w:pageBreakBefore w:val="0"/>
        <w:kinsoku/>
        <w:wordWrap/>
        <w:overflowPunct/>
        <w:topLinePunct w:val="0"/>
        <w:autoSpaceDE/>
        <w:autoSpaceDN/>
        <w:bidi w:val="0"/>
        <w:spacing w:line="48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zh-CN"/>
        </w:rPr>
        <w:t>城乡居民医保补助资金项目完成情况：202</w:t>
      </w:r>
      <w:r>
        <w:rPr>
          <w:rFonts w:hint="eastAsia" w:ascii="仿宋" w:hAnsi="仿宋" w:eastAsia="仿宋" w:cs="仿宋"/>
          <w:sz w:val="32"/>
          <w:szCs w:val="32"/>
          <w:lang w:val="en-US" w:eastAsia="zh-CN"/>
        </w:rPr>
        <w:t>5</w:t>
      </w:r>
      <w:r>
        <w:rPr>
          <w:rFonts w:hint="eastAsia" w:ascii="仿宋" w:hAnsi="仿宋" w:eastAsia="仿宋" w:cs="仿宋"/>
          <w:sz w:val="32"/>
          <w:szCs w:val="32"/>
          <w:lang w:val="zh-CN"/>
        </w:rPr>
        <w:t>年我县城乡居民基本医疗保险</w:t>
      </w:r>
      <w:bookmarkStart w:id="0" w:name="_GoBack"/>
      <w:bookmarkEnd w:id="0"/>
      <w:r>
        <w:rPr>
          <w:rFonts w:hint="eastAsia" w:ascii="仿宋" w:hAnsi="仿宋" w:eastAsia="仿宋" w:cs="仿宋"/>
          <w:sz w:val="32"/>
          <w:szCs w:val="32"/>
          <w:lang w:val="zh-CN"/>
        </w:rPr>
        <w:t>参保人数为</w:t>
      </w:r>
      <w:r>
        <w:rPr>
          <w:rFonts w:hint="eastAsia" w:ascii="仿宋" w:hAnsi="仿宋" w:eastAsia="仿宋" w:cs="仿宋"/>
          <w:sz w:val="32"/>
          <w:szCs w:val="32"/>
          <w:lang w:val="en-US" w:eastAsia="zh-CN"/>
        </w:rPr>
        <w:t>342427</w:t>
      </w:r>
      <w:r>
        <w:rPr>
          <w:rFonts w:hint="eastAsia" w:ascii="仿宋" w:hAnsi="仿宋" w:eastAsia="仿宋" w:cs="仿宋"/>
          <w:sz w:val="32"/>
          <w:szCs w:val="32"/>
          <w:lang w:val="zh-CN"/>
        </w:rPr>
        <w:t>人,根据&lt;石家庄市人民政府关于印发石家庄市城乡居民基本医疗保险实施办法的通知&gt;(石政发[2016]59号)文件精神，第四章第十一条 城乡居民医保实行个人缴费和政府补助相结合为主的筹资方式，鼓励集体、单位或者其他社会经济组织给予扶持或资助。202</w:t>
      </w:r>
      <w:r>
        <w:rPr>
          <w:rFonts w:hint="eastAsia" w:ascii="仿宋" w:hAnsi="仿宋" w:eastAsia="仿宋" w:cs="仿宋"/>
          <w:sz w:val="32"/>
          <w:szCs w:val="32"/>
          <w:lang w:val="en-US" w:eastAsia="zh-CN"/>
        </w:rPr>
        <w:t>5</w:t>
      </w:r>
      <w:r>
        <w:rPr>
          <w:rFonts w:hint="eastAsia" w:ascii="仿宋" w:hAnsi="仿宋" w:eastAsia="仿宋" w:cs="仿宋"/>
          <w:sz w:val="32"/>
          <w:szCs w:val="32"/>
          <w:lang w:val="zh-CN"/>
        </w:rPr>
        <w:t>年我县县级财政对城乡居民医保参保对象补助标准为每人</w:t>
      </w:r>
      <w:r>
        <w:rPr>
          <w:rFonts w:hint="eastAsia" w:ascii="仿宋" w:hAnsi="仿宋" w:eastAsia="仿宋" w:cs="仿宋"/>
          <w:sz w:val="32"/>
          <w:szCs w:val="32"/>
          <w:lang w:val="en-US" w:eastAsia="zh-CN"/>
        </w:rPr>
        <w:t>146</w:t>
      </w:r>
      <w:r>
        <w:rPr>
          <w:rFonts w:hint="eastAsia" w:ascii="仿宋" w:hAnsi="仿宋" w:eastAsia="仿宋" w:cs="仿宋"/>
          <w:sz w:val="32"/>
          <w:szCs w:val="32"/>
          <w:lang w:val="zh-CN"/>
        </w:rPr>
        <w:t>元，年初预算</w:t>
      </w:r>
      <w:r>
        <w:rPr>
          <w:rFonts w:hint="eastAsia" w:ascii="仿宋" w:hAnsi="仿宋" w:eastAsia="仿宋" w:cs="仿宋"/>
          <w:sz w:val="32"/>
          <w:szCs w:val="32"/>
          <w:lang w:val="en-US" w:eastAsia="zh-CN"/>
        </w:rPr>
        <w:t>5133.58</w:t>
      </w:r>
      <w:r>
        <w:rPr>
          <w:rFonts w:hint="eastAsia" w:ascii="仿宋" w:hAnsi="仿宋" w:eastAsia="仿宋" w:cs="仿宋"/>
          <w:sz w:val="32"/>
          <w:szCs w:val="32"/>
          <w:lang w:val="zh-CN"/>
        </w:rPr>
        <w:t>万元，实际项目支出为</w:t>
      </w:r>
      <w:r>
        <w:rPr>
          <w:rFonts w:hint="eastAsia" w:ascii="仿宋" w:hAnsi="仿宋" w:eastAsia="仿宋" w:cs="仿宋"/>
          <w:sz w:val="32"/>
          <w:szCs w:val="32"/>
          <w:lang w:val="en-US" w:eastAsia="zh-CN"/>
        </w:rPr>
        <w:t>4793.978</w:t>
      </w:r>
      <w:r>
        <w:rPr>
          <w:rFonts w:hint="eastAsia" w:ascii="仿宋" w:hAnsi="仿宋" w:eastAsia="仿宋" w:cs="仿宋"/>
          <w:sz w:val="32"/>
          <w:szCs w:val="32"/>
        </w:rPr>
        <w:t>万元。完成总体项目绩效的95%，补助到位率为100%。</w:t>
      </w:r>
    </w:p>
    <w:p w14:paraId="49148F57">
      <w:pPr>
        <w:keepNext w:val="0"/>
        <w:keepLines w:val="0"/>
        <w:pageBreakBefore w:val="0"/>
        <w:kinsoku/>
        <w:wordWrap/>
        <w:overflowPunct/>
        <w:topLinePunct w:val="0"/>
        <w:autoSpaceDE/>
        <w:autoSpaceDN/>
        <w:bidi w:val="0"/>
        <w:adjustRightInd/>
        <w:snapToGrid w:val="0"/>
        <w:spacing w:line="480" w:lineRule="auto"/>
        <w:ind w:firstLine="800" w:firstLineChars="250"/>
        <w:textAlignment w:val="auto"/>
        <w:rPr>
          <w:rFonts w:hint="eastAsia" w:ascii="仿宋" w:hAnsi="仿宋" w:eastAsia="仿宋" w:cs="仿宋"/>
          <w:sz w:val="32"/>
          <w:szCs w:val="32"/>
        </w:rPr>
      </w:pPr>
    </w:p>
    <w:p w14:paraId="34A5FB5F">
      <w:pPr>
        <w:pStyle w:val="2"/>
        <w:keepNext w:val="0"/>
        <w:keepLines w:val="0"/>
        <w:pageBreakBefore w:val="0"/>
        <w:kinsoku/>
        <w:wordWrap/>
        <w:overflowPunct/>
        <w:topLinePunct w:val="0"/>
        <w:autoSpaceDE/>
        <w:autoSpaceDN/>
        <w:bidi w:val="0"/>
        <w:adjustRightInd/>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宣传经费项目完成情况：我单位开展医疗保险政策宣传月活动全方位，多渠道进行医保政策的宣传202</w:t>
      </w:r>
      <w:r>
        <w:rPr>
          <w:rFonts w:hint="eastAsia" w:ascii="仿宋" w:hAnsi="仿宋" w:eastAsia="仿宋" w:cs="仿宋"/>
          <w:sz w:val="32"/>
          <w:szCs w:val="32"/>
          <w:lang w:val="en-US" w:eastAsia="zh-CN"/>
        </w:rPr>
        <w:t>5</w:t>
      </w:r>
      <w:r>
        <w:rPr>
          <w:rFonts w:hint="eastAsia" w:ascii="仿宋" w:hAnsi="仿宋" w:eastAsia="仿宋" w:cs="仿宋"/>
          <w:sz w:val="32"/>
          <w:szCs w:val="32"/>
        </w:rPr>
        <w:t>年实际支出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万元，完成率100%；</w:t>
      </w:r>
    </w:p>
    <w:p w14:paraId="31071A68">
      <w:pPr>
        <w:pStyle w:val="2"/>
        <w:keepNext w:val="0"/>
        <w:keepLines w:val="0"/>
        <w:pageBreakBefore w:val="0"/>
        <w:kinsoku/>
        <w:wordWrap/>
        <w:overflowPunct/>
        <w:topLinePunct w:val="0"/>
        <w:autoSpaceDE/>
        <w:autoSpaceDN/>
        <w:bidi w:val="0"/>
        <w:spacing w:line="480" w:lineRule="auto"/>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网络经费项目完成情况：按照（石医保发【2020】3号）相关要求，按照标准全国统一、数据两级集中、平台三级部署的要求，实现统筹区内统一联网、直接结算，推进各部门信息系统互联互通，提高医疗保障精细化管理和便利化服务水平。年初预算</w:t>
      </w:r>
      <w:r>
        <w:rPr>
          <w:rFonts w:hint="eastAsia" w:ascii="仿宋" w:hAnsi="仿宋" w:eastAsia="仿宋" w:cs="仿宋"/>
          <w:sz w:val="32"/>
          <w:szCs w:val="32"/>
          <w:lang w:val="en-US" w:eastAsia="zh-CN"/>
        </w:rPr>
        <w:t>6</w:t>
      </w:r>
      <w:r>
        <w:rPr>
          <w:rFonts w:hint="eastAsia" w:ascii="仿宋" w:hAnsi="仿宋" w:eastAsia="仿宋" w:cs="仿宋"/>
          <w:sz w:val="32"/>
          <w:szCs w:val="32"/>
        </w:rPr>
        <w:t>万元，实际完成率为100%</w:t>
      </w:r>
      <w:r>
        <w:rPr>
          <w:rFonts w:hint="eastAsia" w:ascii="仿宋" w:hAnsi="仿宋" w:eastAsia="仿宋" w:cs="仿宋"/>
          <w:sz w:val="32"/>
          <w:szCs w:val="32"/>
          <w:lang w:eastAsia="zh-CN"/>
        </w:rPr>
        <w:t>。</w:t>
      </w:r>
    </w:p>
    <w:p w14:paraId="5CA18023">
      <w:pPr>
        <w:pStyle w:val="2"/>
        <w:keepNext w:val="0"/>
        <w:keepLines w:val="0"/>
        <w:pageBreakBefore w:val="0"/>
        <w:kinsoku/>
        <w:wordWrap/>
        <w:overflowPunct/>
        <w:topLinePunct w:val="0"/>
        <w:autoSpaceDE/>
        <w:autoSpaceDN/>
        <w:bidi w:val="0"/>
        <w:spacing w:line="48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公务用车购置项目完成情况：为保障单位公共用车正常运行，保障单位正常业务顺利进行，更新无法正常运行车辆，购置公务用车1辆，年初预算12万元，2025年缩减经费支出，实际支出0万元，完成率0%。</w:t>
      </w:r>
    </w:p>
    <w:p w14:paraId="1D91EAD6">
      <w:pPr>
        <w:pStyle w:val="2"/>
        <w:keepNext w:val="0"/>
        <w:keepLines w:val="0"/>
        <w:pageBreakBefore w:val="0"/>
        <w:kinsoku/>
        <w:wordWrap/>
        <w:overflowPunct/>
        <w:topLinePunct w:val="0"/>
        <w:autoSpaceDE/>
        <w:autoSpaceDN/>
        <w:bidi w:val="0"/>
        <w:spacing w:line="480" w:lineRule="auto"/>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残疾人保障金项目完成情况：保障残疾金就业保障金正常足额支出，年初预算0.00483万元，实际支出0.00483万元，支出率100%。</w:t>
      </w:r>
    </w:p>
    <w:p w14:paraId="1B1DC00F">
      <w:pPr>
        <w:pStyle w:val="2"/>
        <w:keepNext w:val="0"/>
        <w:keepLines w:val="0"/>
        <w:pageBreakBefore w:val="0"/>
        <w:kinsoku/>
        <w:wordWrap/>
        <w:overflowPunct/>
        <w:topLinePunct w:val="0"/>
        <w:autoSpaceDE/>
        <w:autoSpaceDN/>
        <w:bidi w:val="0"/>
        <w:spacing w:line="480" w:lineRule="auto"/>
        <w:ind w:firstLine="640" w:firstLineChars="200"/>
        <w:textAlignment w:val="auto"/>
        <w:rPr>
          <w:rFonts w:hint="eastAsia" w:ascii="仿宋" w:hAnsi="仿宋" w:eastAsia="仿宋" w:cs="仿宋"/>
          <w:sz w:val="32"/>
          <w:szCs w:val="32"/>
        </w:rPr>
      </w:pPr>
    </w:p>
    <w:p w14:paraId="41340FB0">
      <w:pPr>
        <w:keepNext w:val="0"/>
        <w:keepLines w:val="0"/>
        <w:pageBreakBefore w:val="0"/>
        <w:kinsoku/>
        <w:wordWrap/>
        <w:overflowPunct/>
        <w:topLinePunct w:val="0"/>
        <w:autoSpaceDE/>
        <w:autoSpaceDN/>
        <w:bidi w:val="0"/>
        <w:spacing w:line="480" w:lineRule="auto"/>
        <w:textAlignment w:val="auto"/>
        <w:rPr>
          <w:rFonts w:hint="eastAsia" w:ascii="仿宋" w:hAnsi="仿宋" w:eastAsia="仿宋" w:cs="仿宋"/>
          <w:b/>
          <w:bCs/>
          <w:sz w:val="32"/>
          <w:szCs w:val="32"/>
        </w:rPr>
      </w:pPr>
      <w:r>
        <w:rPr>
          <w:rFonts w:hint="eastAsia" w:ascii="仿宋" w:hAnsi="仿宋" w:eastAsia="仿宋" w:cs="仿宋"/>
          <w:b/>
          <w:bCs/>
          <w:sz w:val="32"/>
          <w:szCs w:val="32"/>
        </w:rPr>
        <w:t>四、评价结论和评价等级</w:t>
      </w:r>
    </w:p>
    <w:p w14:paraId="0E1C4366">
      <w:pPr>
        <w:keepNext w:val="0"/>
        <w:keepLines w:val="0"/>
        <w:pageBreakBefore w:val="0"/>
        <w:kinsoku/>
        <w:wordWrap/>
        <w:overflowPunct/>
        <w:topLinePunct w:val="0"/>
        <w:autoSpaceDE/>
        <w:autoSpaceDN/>
        <w:bidi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根据部门职责定位和各项工作履职情况进行综合评价，给出得分</w:t>
      </w:r>
      <w:r>
        <w:rPr>
          <w:rFonts w:hint="eastAsia" w:ascii="仿宋" w:hAnsi="仿宋" w:eastAsia="仿宋" w:cs="仿宋"/>
          <w:sz w:val="32"/>
          <w:szCs w:val="32"/>
          <w:lang w:val="en-US" w:eastAsia="zh-CN"/>
        </w:rPr>
        <w:t>96</w:t>
      </w:r>
      <w:r>
        <w:rPr>
          <w:rFonts w:hint="eastAsia" w:ascii="仿宋" w:hAnsi="仿宋" w:eastAsia="仿宋" w:cs="仿宋"/>
          <w:sz w:val="32"/>
          <w:szCs w:val="32"/>
        </w:rPr>
        <w:t>分，得出综合绩效评价等级为优秀。</w:t>
      </w:r>
    </w:p>
    <w:p w14:paraId="36933C69">
      <w:pPr>
        <w:keepNext w:val="0"/>
        <w:keepLines w:val="0"/>
        <w:pageBreakBefore w:val="0"/>
        <w:kinsoku/>
        <w:wordWrap/>
        <w:overflowPunct/>
        <w:topLinePunct w:val="0"/>
        <w:autoSpaceDE/>
        <w:autoSpaceDN/>
        <w:bidi w:val="0"/>
        <w:spacing w:line="480" w:lineRule="auto"/>
        <w:textAlignment w:val="auto"/>
        <w:rPr>
          <w:rFonts w:hint="eastAsia" w:ascii="仿宋" w:hAnsi="仿宋" w:eastAsia="仿宋" w:cs="仿宋"/>
          <w:b/>
          <w:bCs/>
          <w:sz w:val="32"/>
          <w:szCs w:val="32"/>
        </w:rPr>
      </w:pPr>
      <w:r>
        <w:rPr>
          <w:rFonts w:hint="eastAsia" w:ascii="仿宋" w:hAnsi="仿宋" w:eastAsia="仿宋" w:cs="仿宋"/>
          <w:b/>
          <w:bCs/>
          <w:sz w:val="32"/>
          <w:szCs w:val="32"/>
        </w:rPr>
        <w:t>五、存在的问题及改进措施</w:t>
      </w:r>
    </w:p>
    <w:p w14:paraId="74E22075">
      <w:pPr>
        <w:keepNext w:val="0"/>
        <w:keepLines w:val="0"/>
        <w:pageBreakBefore w:val="0"/>
        <w:kinsoku/>
        <w:wordWrap/>
        <w:overflowPunct/>
        <w:topLinePunct w:val="0"/>
        <w:autoSpaceDE/>
        <w:autoSpaceDN/>
        <w:bidi w:val="0"/>
        <w:spacing w:line="480" w:lineRule="auto"/>
        <w:ind w:firstLine="643" w:firstLineChars="200"/>
        <w:textAlignment w:val="auto"/>
        <w:rPr>
          <w:rFonts w:hint="eastAsia" w:ascii="仿宋" w:hAnsi="仿宋" w:eastAsia="仿宋" w:cs="仿宋"/>
          <w:b/>
          <w:bCs w:val="0"/>
          <w:sz w:val="32"/>
          <w:szCs w:val="32"/>
        </w:rPr>
      </w:pPr>
      <w:r>
        <w:rPr>
          <w:rFonts w:hint="eastAsia" w:ascii="仿宋" w:hAnsi="仿宋" w:eastAsia="仿宋" w:cs="仿宋"/>
          <w:b/>
          <w:bCs w:val="0"/>
          <w:sz w:val="32"/>
          <w:szCs w:val="32"/>
        </w:rPr>
        <w:t>（一）存在的主要问题</w:t>
      </w:r>
    </w:p>
    <w:p w14:paraId="078349DD">
      <w:pPr>
        <w:keepNext w:val="0"/>
        <w:keepLines w:val="0"/>
        <w:pageBreakBefore w:val="0"/>
        <w:kinsoku/>
        <w:wordWrap/>
        <w:overflowPunct/>
        <w:topLinePunct w:val="0"/>
        <w:autoSpaceDE/>
        <w:autoSpaceDN/>
        <w:bidi w:val="0"/>
        <w:spacing w:line="480" w:lineRule="auto"/>
        <w:ind w:firstLine="640" w:firstLineChars="200"/>
        <w:textAlignment w:val="auto"/>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整体预算执行绩效完成度较好，需更加准确列支支出经济分类科目。</w:t>
      </w:r>
    </w:p>
    <w:p w14:paraId="2B4A5210">
      <w:pPr>
        <w:keepNext w:val="0"/>
        <w:keepLines w:val="0"/>
        <w:pageBreakBefore w:val="0"/>
        <w:kinsoku/>
        <w:wordWrap/>
        <w:overflowPunct/>
        <w:topLinePunct w:val="0"/>
        <w:autoSpaceDE/>
        <w:autoSpaceDN/>
        <w:bidi w:val="0"/>
        <w:spacing w:line="480" w:lineRule="auto"/>
        <w:ind w:firstLine="643" w:firstLineChars="200"/>
        <w:textAlignment w:val="auto"/>
        <w:rPr>
          <w:rFonts w:hint="eastAsia" w:ascii="仿宋" w:hAnsi="仿宋" w:eastAsia="仿宋" w:cs="仿宋"/>
          <w:b/>
          <w:bCs w:val="0"/>
          <w:sz w:val="32"/>
          <w:szCs w:val="32"/>
        </w:rPr>
      </w:pPr>
      <w:r>
        <w:rPr>
          <w:rFonts w:hint="eastAsia" w:ascii="仿宋" w:hAnsi="仿宋" w:eastAsia="仿宋" w:cs="仿宋"/>
          <w:b/>
          <w:bCs w:val="0"/>
          <w:sz w:val="32"/>
          <w:szCs w:val="32"/>
        </w:rPr>
        <w:t>（二）针对问题提出具体的改进措施或建议</w:t>
      </w:r>
    </w:p>
    <w:p w14:paraId="61A70998">
      <w:pPr>
        <w:keepNext w:val="0"/>
        <w:keepLines w:val="0"/>
        <w:pageBreakBefore w:val="0"/>
        <w:kinsoku/>
        <w:wordWrap/>
        <w:overflowPunct/>
        <w:topLinePunct w:val="0"/>
        <w:autoSpaceDE/>
        <w:autoSpaceDN/>
        <w:bidi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精细管理预算编制。要及时做好预算编制。严格按照预算管理要求，提高预算编制科学性和合理性，优化资金结构，进行预算编制。</w:t>
      </w:r>
    </w:p>
    <w:p w14:paraId="5A38AB25">
      <w:pPr>
        <w:keepNext w:val="0"/>
        <w:keepLines w:val="0"/>
        <w:pageBreakBefore w:val="0"/>
        <w:kinsoku/>
        <w:wordWrap/>
        <w:overflowPunct/>
        <w:topLinePunct w:val="0"/>
        <w:autoSpaceDE/>
        <w:autoSpaceDN/>
        <w:bidi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积极推动预算执行。一是深化预算控制层级，要真实准确的进行核算，按预算编制内容保证预算支出进度，提高财政资金利用率。二是要切实加强财务分析。要善于发现问题，管控风险。通过全面、系统、深入的财务分析，及时通报预算执行情况，及时发现预算管理中的问题，及时采取调整、纠偏方式进行完善。</w:t>
      </w:r>
    </w:p>
    <w:p w14:paraId="6ABADD02">
      <w:pPr>
        <w:keepNext w:val="0"/>
        <w:keepLines w:val="0"/>
        <w:pageBreakBefore w:val="0"/>
        <w:kinsoku/>
        <w:wordWrap/>
        <w:overflowPunct/>
        <w:topLinePunct w:val="0"/>
        <w:autoSpaceDE/>
        <w:autoSpaceDN/>
        <w:bidi w:val="0"/>
        <w:spacing w:line="48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建立全过程绩效管理。设立科学合理的绩效目标和指标，增强目标约束力和执行力。进一步细化量化资金使用绩效目标，树立现代绩效管理理念。</w:t>
      </w:r>
    </w:p>
    <w:p w14:paraId="2D02C4C0">
      <w:pPr>
        <w:adjustRightInd w:val="0"/>
        <w:snapToGrid w:val="0"/>
        <w:spacing w:line="560" w:lineRule="exact"/>
        <w:rPr>
          <w:rFonts w:hint="eastAsia" w:ascii="黑体" w:hAnsi="黑体" w:eastAsia="黑体"/>
          <w:sz w:val="32"/>
          <w:szCs w:val="32"/>
        </w:rPr>
      </w:pPr>
    </w:p>
    <w:p w14:paraId="5E664BB4">
      <w:pPr>
        <w:adjustRightInd w:val="0"/>
        <w:snapToGrid w:val="0"/>
        <w:spacing w:line="560" w:lineRule="exact"/>
        <w:rPr>
          <w:rFonts w:hint="eastAsia" w:ascii="黑体" w:hAnsi="黑体" w:eastAsia="黑体"/>
          <w:sz w:val="32"/>
          <w:szCs w:val="32"/>
        </w:rPr>
      </w:pPr>
    </w:p>
    <w:p w14:paraId="46C7FA23">
      <w:pPr>
        <w:adjustRightInd w:val="0"/>
        <w:snapToGrid w:val="0"/>
        <w:spacing w:line="560" w:lineRule="exact"/>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9203"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5"/>
        <w:gridCol w:w="2551"/>
        <w:gridCol w:w="1999"/>
        <w:gridCol w:w="1103"/>
        <w:gridCol w:w="2415"/>
      </w:tblGrid>
      <w:tr w14:paraId="14A29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1135" w:type="dxa"/>
            <w:tcBorders>
              <w:top w:val="single" w:color="auto" w:sz="4" w:space="0"/>
              <w:left w:val="single" w:color="auto" w:sz="4" w:space="0"/>
              <w:bottom w:val="single" w:color="auto" w:sz="4" w:space="0"/>
              <w:right w:val="single" w:color="auto" w:sz="4" w:space="0"/>
            </w:tcBorders>
            <w:noWrap w:val="0"/>
            <w:vAlign w:val="center"/>
          </w:tcPr>
          <w:p w14:paraId="04AF646E">
            <w:pPr>
              <w:spacing w:line="560" w:lineRule="exact"/>
              <w:jc w:val="center"/>
              <w:rPr>
                <w:rFonts w:ascii="仿宋_GB2312" w:hAnsi="宋体" w:eastAsia="仿宋_GB2312" w:cs="宋体"/>
                <w:sz w:val="28"/>
                <w:szCs w:val="28"/>
              </w:rPr>
            </w:pPr>
            <w:r>
              <w:rPr>
                <w:rFonts w:hint="eastAsia" w:ascii="仿宋_GB2312" w:hAnsi="宋体" w:eastAsia="仿宋_GB2312" w:cs="宋体"/>
                <w:sz w:val="28"/>
                <w:szCs w:val="28"/>
              </w:rPr>
              <w:t>姓  名</w:t>
            </w:r>
          </w:p>
        </w:tc>
        <w:tc>
          <w:tcPr>
            <w:tcW w:w="2551" w:type="dxa"/>
            <w:tcBorders>
              <w:top w:val="single" w:color="auto" w:sz="4" w:space="0"/>
              <w:left w:val="single" w:color="auto" w:sz="4" w:space="0"/>
              <w:bottom w:val="single" w:color="auto" w:sz="4" w:space="0"/>
              <w:right w:val="single" w:color="auto" w:sz="4" w:space="0"/>
            </w:tcBorders>
            <w:noWrap w:val="0"/>
            <w:vAlign w:val="center"/>
          </w:tcPr>
          <w:p w14:paraId="71859AE7">
            <w:pPr>
              <w:spacing w:line="560" w:lineRule="exact"/>
              <w:jc w:val="center"/>
              <w:rPr>
                <w:rFonts w:ascii="仿宋_GB2312" w:hAnsi="宋体" w:eastAsia="仿宋_GB2312" w:cs="宋体"/>
                <w:sz w:val="28"/>
                <w:szCs w:val="28"/>
              </w:rPr>
            </w:pPr>
            <w:r>
              <w:rPr>
                <w:rFonts w:hint="eastAsia" w:ascii="仿宋_GB2312" w:hAnsi="宋体" w:eastAsia="仿宋_GB2312" w:cs="宋体"/>
                <w:sz w:val="28"/>
                <w:szCs w:val="28"/>
              </w:rPr>
              <w:t>工作单位</w:t>
            </w:r>
          </w:p>
        </w:tc>
        <w:tc>
          <w:tcPr>
            <w:tcW w:w="1999" w:type="dxa"/>
            <w:tcBorders>
              <w:top w:val="single" w:color="auto" w:sz="4" w:space="0"/>
              <w:left w:val="single" w:color="auto" w:sz="4" w:space="0"/>
              <w:bottom w:val="single" w:color="auto" w:sz="4" w:space="0"/>
              <w:right w:val="single" w:color="auto" w:sz="4" w:space="0"/>
            </w:tcBorders>
            <w:noWrap w:val="0"/>
            <w:vAlign w:val="center"/>
          </w:tcPr>
          <w:p w14:paraId="39451AF4">
            <w:pPr>
              <w:spacing w:line="560" w:lineRule="exact"/>
              <w:jc w:val="center"/>
              <w:rPr>
                <w:rFonts w:ascii="仿宋_GB2312" w:hAnsi="宋体" w:eastAsia="仿宋_GB2312" w:cs="宋体"/>
                <w:sz w:val="28"/>
                <w:szCs w:val="28"/>
              </w:rPr>
            </w:pPr>
            <w:r>
              <w:rPr>
                <w:rFonts w:hint="eastAsia" w:ascii="仿宋_GB2312" w:hAnsi="宋体" w:eastAsia="仿宋_GB2312" w:cs="宋体"/>
                <w:sz w:val="28"/>
                <w:szCs w:val="28"/>
              </w:rPr>
              <w:t>职 务</w:t>
            </w:r>
          </w:p>
        </w:tc>
        <w:tc>
          <w:tcPr>
            <w:tcW w:w="1103" w:type="dxa"/>
            <w:tcBorders>
              <w:top w:val="single" w:color="auto" w:sz="4" w:space="0"/>
              <w:left w:val="single" w:color="auto" w:sz="4" w:space="0"/>
              <w:bottom w:val="single" w:color="auto" w:sz="4" w:space="0"/>
              <w:right w:val="single" w:color="auto" w:sz="4" w:space="0"/>
            </w:tcBorders>
            <w:noWrap w:val="0"/>
            <w:vAlign w:val="center"/>
          </w:tcPr>
          <w:p w14:paraId="7D572692">
            <w:pPr>
              <w:spacing w:line="560" w:lineRule="exact"/>
              <w:jc w:val="center"/>
              <w:rPr>
                <w:rFonts w:ascii="仿宋_GB2312" w:hAnsi="宋体" w:eastAsia="仿宋_GB2312" w:cs="宋体"/>
                <w:sz w:val="28"/>
                <w:szCs w:val="28"/>
              </w:rPr>
            </w:pPr>
            <w:r>
              <w:rPr>
                <w:rFonts w:hint="eastAsia" w:ascii="仿宋_GB2312" w:hAnsi="宋体" w:eastAsia="仿宋_GB2312" w:cs="宋体"/>
                <w:sz w:val="28"/>
                <w:szCs w:val="28"/>
              </w:rPr>
              <w:t>职称</w:t>
            </w:r>
          </w:p>
        </w:tc>
        <w:tc>
          <w:tcPr>
            <w:tcW w:w="2415" w:type="dxa"/>
            <w:tcBorders>
              <w:top w:val="single" w:color="auto" w:sz="4" w:space="0"/>
              <w:left w:val="single" w:color="auto" w:sz="4" w:space="0"/>
              <w:bottom w:val="single" w:color="auto" w:sz="4" w:space="0"/>
              <w:right w:val="single" w:color="auto" w:sz="4" w:space="0"/>
            </w:tcBorders>
            <w:noWrap w:val="0"/>
            <w:vAlign w:val="center"/>
          </w:tcPr>
          <w:p w14:paraId="451F1217">
            <w:pPr>
              <w:spacing w:line="560" w:lineRule="exact"/>
              <w:jc w:val="center"/>
              <w:rPr>
                <w:rFonts w:ascii="仿宋_GB2312" w:hAnsi="宋体" w:eastAsia="仿宋_GB2312" w:cs="宋体"/>
                <w:sz w:val="28"/>
                <w:szCs w:val="28"/>
              </w:rPr>
            </w:pPr>
            <w:r>
              <w:rPr>
                <w:rFonts w:hint="eastAsia" w:ascii="仿宋_GB2312" w:hAnsi="宋体" w:eastAsia="仿宋_GB2312" w:cs="宋体"/>
                <w:sz w:val="28"/>
                <w:szCs w:val="28"/>
              </w:rPr>
              <w:t>签字</w:t>
            </w:r>
          </w:p>
        </w:tc>
      </w:tr>
      <w:tr w14:paraId="09756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0" w:hRule="atLeast"/>
        </w:trPr>
        <w:tc>
          <w:tcPr>
            <w:tcW w:w="1135" w:type="dxa"/>
            <w:tcBorders>
              <w:top w:val="single" w:color="auto" w:sz="4" w:space="0"/>
              <w:left w:val="single" w:color="auto" w:sz="4" w:space="0"/>
              <w:bottom w:val="single" w:color="auto" w:sz="4" w:space="0"/>
              <w:right w:val="single" w:color="auto" w:sz="4" w:space="0"/>
            </w:tcBorders>
            <w:noWrap w:val="0"/>
            <w:vAlign w:val="center"/>
          </w:tcPr>
          <w:p w14:paraId="4A1CCF43">
            <w:pPr>
              <w:spacing w:line="560" w:lineRule="exact"/>
              <w:jc w:val="center"/>
              <w:rPr>
                <w:rFonts w:hint="default" w:ascii="仿宋_GB2312" w:hAnsi="宋体" w:eastAsia="仿宋_GB2312" w:cs="宋体"/>
                <w:sz w:val="28"/>
                <w:szCs w:val="28"/>
                <w:lang w:val="en-US" w:eastAsia="zh-CN"/>
              </w:rPr>
            </w:pPr>
            <w:r>
              <w:rPr>
                <w:rFonts w:hint="eastAsia" w:ascii="仿宋_GB2312" w:hAnsi="宋体" w:eastAsia="仿宋_GB2312" w:cs="宋体"/>
                <w:sz w:val="28"/>
                <w:szCs w:val="28"/>
                <w:lang w:val="en-US" w:eastAsia="zh-CN"/>
              </w:rPr>
              <w:t>王英辉</w:t>
            </w:r>
          </w:p>
        </w:tc>
        <w:tc>
          <w:tcPr>
            <w:tcW w:w="2551" w:type="dxa"/>
            <w:tcBorders>
              <w:top w:val="single" w:color="auto" w:sz="4" w:space="0"/>
              <w:left w:val="single" w:color="auto" w:sz="4" w:space="0"/>
              <w:bottom w:val="single" w:color="auto" w:sz="4" w:space="0"/>
              <w:right w:val="single" w:color="auto" w:sz="4" w:space="0"/>
            </w:tcBorders>
            <w:noWrap w:val="0"/>
            <w:vAlign w:val="center"/>
          </w:tcPr>
          <w:p w14:paraId="66E26029">
            <w:pPr>
              <w:spacing w:line="560" w:lineRule="exact"/>
              <w:jc w:val="center"/>
              <w:rPr>
                <w:rFonts w:hint="eastAsia" w:ascii="仿宋_GB2312" w:hAnsi="宋体" w:eastAsia="仿宋_GB2312" w:cs="宋体"/>
                <w:sz w:val="28"/>
                <w:szCs w:val="28"/>
                <w:lang w:eastAsia="zh-CN"/>
              </w:rPr>
            </w:pPr>
            <w:r>
              <w:rPr>
                <w:rFonts w:hint="eastAsia" w:ascii="仿宋_GB2312" w:hAnsi="宋体" w:eastAsia="仿宋_GB2312" w:cs="宋体"/>
                <w:sz w:val="28"/>
                <w:szCs w:val="28"/>
                <w:lang w:eastAsia="zh-CN"/>
              </w:rPr>
              <w:t>元氏县医疗保障局</w:t>
            </w:r>
          </w:p>
        </w:tc>
        <w:tc>
          <w:tcPr>
            <w:tcW w:w="1999" w:type="dxa"/>
            <w:tcBorders>
              <w:top w:val="single" w:color="auto" w:sz="4" w:space="0"/>
              <w:left w:val="single" w:color="auto" w:sz="4" w:space="0"/>
              <w:bottom w:val="single" w:color="auto" w:sz="4" w:space="0"/>
              <w:right w:val="single" w:color="auto" w:sz="4" w:space="0"/>
            </w:tcBorders>
            <w:noWrap w:val="0"/>
            <w:vAlign w:val="center"/>
          </w:tcPr>
          <w:p w14:paraId="23FADAB4">
            <w:pPr>
              <w:spacing w:line="560" w:lineRule="exact"/>
              <w:ind w:left="210" w:leftChars="100"/>
              <w:jc w:val="center"/>
              <w:rPr>
                <w:rFonts w:ascii="仿宋_GB2312" w:hAnsi="宋体" w:eastAsia="仿宋_GB2312" w:cs="宋体"/>
                <w:sz w:val="28"/>
                <w:szCs w:val="28"/>
              </w:rPr>
            </w:pPr>
            <w:r>
              <w:rPr>
                <w:rFonts w:hint="eastAsia" w:ascii="仿宋_GB2312" w:hAnsi="宋体" w:eastAsia="仿宋_GB2312" w:cs="宋体"/>
                <w:sz w:val="28"/>
                <w:szCs w:val="28"/>
                <w:lang w:val="en-US" w:eastAsia="zh-CN"/>
              </w:rPr>
              <w:t>党组书记、</w:t>
            </w:r>
            <w:r>
              <w:rPr>
                <w:rFonts w:hint="eastAsia" w:ascii="仿宋_GB2312" w:hAnsi="宋体" w:eastAsia="仿宋_GB2312" w:cs="宋体"/>
                <w:sz w:val="28"/>
                <w:szCs w:val="28"/>
              </w:rPr>
              <w:t>局长</w:t>
            </w:r>
          </w:p>
        </w:tc>
        <w:tc>
          <w:tcPr>
            <w:tcW w:w="1103" w:type="dxa"/>
            <w:tcBorders>
              <w:top w:val="single" w:color="auto" w:sz="4" w:space="0"/>
              <w:left w:val="single" w:color="auto" w:sz="4" w:space="0"/>
              <w:bottom w:val="single" w:color="auto" w:sz="4" w:space="0"/>
              <w:right w:val="single" w:color="auto" w:sz="4" w:space="0"/>
            </w:tcBorders>
            <w:noWrap w:val="0"/>
            <w:vAlign w:val="center"/>
          </w:tcPr>
          <w:p w14:paraId="58ECCF0D">
            <w:pPr>
              <w:spacing w:line="560" w:lineRule="exact"/>
              <w:jc w:val="center"/>
              <w:rPr>
                <w:rFonts w:ascii="仿宋_GB2312" w:hAnsi="宋体" w:eastAsia="仿宋_GB2312" w:cs="宋体"/>
                <w:sz w:val="28"/>
                <w:szCs w:val="28"/>
              </w:rPr>
            </w:pPr>
          </w:p>
        </w:tc>
        <w:tc>
          <w:tcPr>
            <w:tcW w:w="2415" w:type="dxa"/>
            <w:tcBorders>
              <w:top w:val="single" w:color="auto" w:sz="4" w:space="0"/>
              <w:left w:val="single" w:color="auto" w:sz="4" w:space="0"/>
              <w:bottom w:val="single" w:color="auto" w:sz="4" w:space="0"/>
              <w:right w:val="single" w:color="auto" w:sz="4" w:space="0"/>
            </w:tcBorders>
            <w:noWrap w:val="0"/>
            <w:vAlign w:val="center"/>
          </w:tcPr>
          <w:p w14:paraId="0E010CB8">
            <w:pPr>
              <w:spacing w:line="560" w:lineRule="exact"/>
              <w:jc w:val="center"/>
              <w:rPr>
                <w:rFonts w:ascii="仿宋_GB2312" w:hAnsi="宋体" w:eastAsia="仿宋_GB2312" w:cs="宋体"/>
                <w:sz w:val="28"/>
                <w:szCs w:val="28"/>
              </w:rPr>
            </w:pPr>
          </w:p>
        </w:tc>
      </w:tr>
      <w:tr w14:paraId="67ADC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0" w:hRule="atLeast"/>
        </w:trPr>
        <w:tc>
          <w:tcPr>
            <w:tcW w:w="1135" w:type="dxa"/>
            <w:tcBorders>
              <w:top w:val="single" w:color="auto" w:sz="4" w:space="0"/>
              <w:left w:val="single" w:color="auto" w:sz="4" w:space="0"/>
              <w:bottom w:val="single" w:color="auto" w:sz="4" w:space="0"/>
              <w:right w:val="single" w:color="auto" w:sz="4" w:space="0"/>
            </w:tcBorders>
            <w:noWrap w:val="0"/>
            <w:vAlign w:val="center"/>
          </w:tcPr>
          <w:p w14:paraId="5C1CE189">
            <w:pPr>
              <w:tabs>
                <w:tab w:val="left" w:pos="432"/>
              </w:tabs>
              <w:spacing w:line="560" w:lineRule="exact"/>
              <w:jc w:val="left"/>
              <w:rPr>
                <w:rFonts w:hint="default" w:ascii="仿宋_GB2312" w:hAnsi="宋体" w:eastAsia="仿宋_GB2312" w:cs="宋体"/>
                <w:sz w:val="28"/>
                <w:szCs w:val="28"/>
                <w:lang w:val="en-US" w:eastAsia="zh-CN"/>
              </w:rPr>
            </w:pPr>
            <w:r>
              <w:rPr>
                <w:rFonts w:hint="eastAsia" w:ascii="仿宋_GB2312" w:hAnsi="宋体" w:eastAsia="仿宋_GB2312" w:cs="宋体"/>
                <w:sz w:val="28"/>
                <w:szCs w:val="28"/>
                <w:lang w:val="en-US" w:eastAsia="zh-CN"/>
              </w:rPr>
              <w:t>王胜彬</w:t>
            </w:r>
          </w:p>
        </w:tc>
        <w:tc>
          <w:tcPr>
            <w:tcW w:w="2551" w:type="dxa"/>
            <w:tcBorders>
              <w:top w:val="single" w:color="auto" w:sz="4" w:space="0"/>
              <w:left w:val="single" w:color="auto" w:sz="4" w:space="0"/>
              <w:bottom w:val="single" w:color="auto" w:sz="4" w:space="0"/>
              <w:right w:val="single" w:color="auto" w:sz="4" w:space="0"/>
            </w:tcBorders>
            <w:noWrap w:val="0"/>
            <w:vAlign w:val="center"/>
          </w:tcPr>
          <w:p w14:paraId="1DCA6447">
            <w:pPr>
              <w:spacing w:line="560" w:lineRule="exact"/>
              <w:jc w:val="center"/>
              <w:rPr>
                <w:rFonts w:hint="default" w:ascii="仿宋_GB2312" w:hAnsi="宋体" w:eastAsia="仿宋_GB2312" w:cs="宋体"/>
                <w:sz w:val="28"/>
                <w:szCs w:val="28"/>
                <w:lang w:val="en-US" w:eastAsia="zh-CN"/>
              </w:rPr>
            </w:pPr>
            <w:r>
              <w:rPr>
                <w:rFonts w:hint="eastAsia" w:ascii="仿宋_GB2312" w:hAnsi="宋体" w:eastAsia="仿宋_GB2312" w:cs="宋体"/>
                <w:sz w:val="28"/>
                <w:szCs w:val="28"/>
                <w:lang w:val="en-US" w:eastAsia="zh-CN"/>
              </w:rPr>
              <w:t>元氏县医疗保险管理中心</w:t>
            </w:r>
          </w:p>
        </w:tc>
        <w:tc>
          <w:tcPr>
            <w:tcW w:w="1999" w:type="dxa"/>
            <w:tcBorders>
              <w:top w:val="single" w:color="auto" w:sz="4" w:space="0"/>
              <w:left w:val="single" w:color="auto" w:sz="4" w:space="0"/>
              <w:bottom w:val="single" w:color="auto" w:sz="4" w:space="0"/>
              <w:right w:val="single" w:color="auto" w:sz="4" w:space="0"/>
            </w:tcBorders>
            <w:noWrap w:val="0"/>
            <w:vAlign w:val="center"/>
          </w:tcPr>
          <w:p w14:paraId="3B39FDDC">
            <w:pPr>
              <w:spacing w:line="560" w:lineRule="exact"/>
              <w:jc w:val="center"/>
              <w:rPr>
                <w:rFonts w:hint="default" w:ascii="仿宋_GB2312" w:hAnsi="宋体" w:eastAsia="仿宋_GB2312" w:cs="宋体"/>
                <w:sz w:val="28"/>
                <w:szCs w:val="28"/>
                <w:lang w:val="en-US" w:eastAsia="zh-CN"/>
              </w:rPr>
            </w:pPr>
            <w:r>
              <w:rPr>
                <w:rFonts w:hint="eastAsia" w:ascii="仿宋_GB2312" w:hAnsi="宋体" w:eastAsia="仿宋_GB2312" w:cs="宋体"/>
                <w:sz w:val="28"/>
                <w:szCs w:val="28"/>
                <w:lang w:val="en-US" w:eastAsia="zh-CN"/>
              </w:rPr>
              <w:t>医保中心主任</w:t>
            </w:r>
          </w:p>
        </w:tc>
        <w:tc>
          <w:tcPr>
            <w:tcW w:w="1103" w:type="dxa"/>
            <w:tcBorders>
              <w:top w:val="single" w:color="auto" w:sz="4" w:space="0"/>
              <w:left w:val="single" w:color="auto" w:sz="4" w:space="0"/>
              <w:bottom w:val="single" w:color="auto" w:sz="4" w:space="0"/>
              <w:right w:val="single" w:color="auto" w:sz="4" w:space="0"/>
            </w:tcBorders>
            <w:noWrap w:val="0"/>
            <w:vAlign w:val="center"/>
          </w:tcPr>
          <w:p w14:paraId="63787F6E">
            <w:pPr>
              <w:spacing w:line="560" w:lineRule="exact"/>
              <w:jc w:val="center"/>
              <w:rPr>
                <w:rFonts w:ascii="仿宋_GB2312" w:hAnsi="宋体" w:eastAsia="仿宋_GB2312" w:cs="宋体"/>
                <w:sz w:val="28"/>
                <w:szCs w:val="28"/>
              </w:rPr>
            </w:pPr>
          </w:p>
        </w:tc>
        <w:tc>
          <w:tcPr>
            <w:tcW w:w="2415" w:type="dxa"/>
            <w:tcBorders>
              <w:top w:val="single" w:color="auto" w:sz="4" w:space="0"/>
              <w:left w:val="single" w:color="auto" w:sz="4" w:space="0"/>
              <w:bottom w:val="single" w:color="auto" w:sz="4" w:space="0"/>
              <w:right w:val="single" w:color="auto" w:sz="4" w:space="0"/>
            </w:tcBorders>
            <w:noWrap w:val="0"/>
            <w:vAlign w:val="center"/>
          </w:tcPr>
          <w:p w14:paraId="51AEA573">
            <w:pPr>
              <w:spacing w:line="560" w:lineRule="exact"/>
              <w:jc w:val="center"/>
              <w:rPr>
                <w:rFonts w:ascii="仿宋_GB2312" w:hAnsi="宋体" w:eastAsia="仿宋_GB2312" w:cs="宋体"/>
                <w:sz w:val="28"/>
                <w:szCs w:val="28"/>
              </w:rPr>
            </w:pPr>
          </w:p>
        </w:tc>
      </w:tr>
      <w:tr w14:paraId="59E9C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0" w:hRule="atLeast"/>
        </w:trPr>
        <w:tc>
          <w:tcPr>
            <w:tcW w:w="1135" w:type="dxa"/>
            <w:tcBorders>
              <w:top w:val="single" w:color="auto" w:sz="4" w:space="0"/>
              <w:left w:val="single" w:color="auto" w:sz="4" w:space="0"/>
              <w:bottom w:val="single" w:color="auto" w:sz="4" w:space="0"/>
              <w:right w:val="single" w:color="auto" w:sz="4" w:space="0"/>
            </w:tcBorders>
            <w:noWrap w:val="0"/>
            <w:vAlign w:val="center"/>
          </w:tcPr>
          <w:p w14:paraId="36B9CDBB">
            <w:pPr>
              <w:spacing w:line="560" w:lineRule="exact"/>
              <w:jc w:val="center"/>
              <w:rPr>
                <w:rFonts w:hint="eastAsia" w:ascii="仿宋_GB2312" w:hAnsi="宋体" w:eastAsia="仿宋_GB2312" w:cs="宋体"/>
                <w:sz w:val="28"/>
                <w:szCs w:val="28"/>
                <w:lang w:eastAsia="zh-CN"/>
              </w:rPr>
            </w:pPr>
            <w:r>
              <w:rPr>
                <w:rFonts w:hint="eastAsia" w:ascii="仿宋_GB2312" w:hAnsi="宋体" w:eastAsia="仿宋_GB2312" w:cs="宋体"/>
                <w:sz w:val="28"/>
                <w:szCs w:val="28"/>
                <w:lang w:eastAsia="zh-CN"/>
              </w:rPr>
              <w:t>张锦</w:t>
            </w:r>
          </w:p>
        </w:tc>
        <w:tc>
          <w:tcPr>
            <w:tcW w:w="2551" w:type="dxa"/>
            <w:tcBorders>
              <w:top w:val="single" w:color="auto" w:sz="4" w:space="0"/>
              <w:left w:val="single" w:color="auto" w:sz="4" w:space="0"/>
              <w:bottom w:val="single" w:color="auto" w:sz="4" w:space="0"/>
              <w:right w:val="single" w:color="auto" w:sz="4" w:space="0"/>
            </w:tcBorders>
            <w:noWrap w:val="0"/>
            <w:vAlign w:val="center"/>
          </w:tcPr>
          <w:p w14:paraId="5A77B397">
            <w:pPr>
              <w:spacing w:line="560" w:lineRule="exact"/>
              <w:jc w:val="center"/>
              <w:rPr>
                <w:rFonts w:hint="eastAsia" w:ascii="仿宋_GB2312" w:hAnsi="宋体" w:eastAsia="仿宋_GB2312" w:cs="宋体"/>
                <w:sz w:val="28"/>
                <w:szCs w:val="28"/>
                <w:lang w:eastAsia="zh-CN"/>
              </w:rPr>
            </w:pPr>
            <w:r>
              <w:rPr>
                <w:rFonts w:hint="eastAsia" w:ascii="仿宋_GB2312" w:hAnsi="宋体" w:eastAsia="仿宋_GB2312" w:cs="宋体"/>
                <w:sz w:val="28"/>
                <w:szCs w:val="28"/>
                <w:lang w:eastAsia="zh-CN"/>
              </w:rPr>
              <w:t>元氏县医疗保险管理中心</w:t>
            </w:r>
          </w:p>
        </w:tc>
        <w:tc>
          <w:tcPr>
            <w:tcW w:w="1999" w:type="dxa"/>
            <w:tcBorders>
              <w:top w:val="single" w:color="auto" w:sz="4" w:space="0"/>
              <w:left w:val="single" w:color="auto" w:sz="4" w:space="0"/>
              <w:bottom w:val="single" w:color="auto" w:sz="4" w:space="0"/>
              <w:right w:val="single" w:color="auto" w:sz="4" w:space="0"/>
            </w:tcBorders>
            <w:noWrap w:val="0"/>
            <w:vAlign w:val="center"/>
          </w:tcPr>
          <w:p w14:paraId="7175F469">
            <w:pPr>
              <w:spacing w:line="560" w:lineRule="exact"/>
              <w:jc w:val="center"/>
              <w:rPr>
                <w:rFonts w:hint="eastAsia" w:ascii="仿宋_GB2312" w:hAnsi="宋体" w:eastAsia="仿宋_GB2312" w:cs="宋体"/>
                <w:sz w:val="28"/>
                <w:szCs w:val="28"/>
                <w:lang w:eastAsia="zh-CN"/>
              </w:rPr>
            </w:pPr>
            <w:r>
              <w:rPr>
                <w:rFonts w:hint="eastAsia" w:ascii="仿宋_GB2312" w:hAnsi="宋体" w:eastAsia="仿宋_GB2312" w:cs="宋体"/>
                <w:sz w:val="28"/>
                <w:szCs w:val="28"/>
                <w:lang w:eastAsia="zh-CN"/>
              </w:rPr>
              <w:t>财务负责人</w:t>
            </w:r>
          </w:p>
        </w:tc>
        <w:tc>
          <w:tcPr>
            <w:tcW w:w="1103" w:type="dxa"/>
            <w:tcBorders>
              <w:top w:val="single" w:color="auto" w:sz="4" w:space="0"/>
              <w:left w:val="single" w:color="auto" w:sz="4" w:space="0"/>
              <w:bottom w:val="single" w:color="auto" w:sz="4" w:space="0"/>
              <w:right w:val="single" w:color="auto" w:sz="4" w:space="0"/>
            </w:tcBorders>
            <w:noWrap w:val="0"/>
            <w:vAlign w:val="center"/>
          </w:tcPr>
          <w:p w14:paraId="646F3BE9">
            <w:pPr>
              <w:spacing w:line="560" w:lineRule="exact"/>
              <w:jc w:val="center"/>
              <w:rPr>
                <w:rFonts w:ascii="仿宋_GB2312" w:hAnsi="宋体" w:eastAsia="仿宋_GB2312" w:cs="宋体"/>
                <w:sz w:val="28"/>
                <w:szCs w:val="28"/>
              </w:rPr>
            </w:pPr>
          </w:p>
        </w:tc>
        <w:tc>
          <w:tcPr>
            <w:tcW w:w="2415" w:type="dxa"/>
            <w:tcBorders>
              <w:top w:val="single" w:color="auto" w:sz="4" w:space="0"/>
              <w:left w:val="single" w:color="auto" w:sz="4" w:space="0"/>
              <w:bottom w:val="single" w:color="auto" w:sz="4" w:space="0"/>
              <w:right w:val="single" w:color="auto" w:sz="4" w:space="0"/>
            </w:tcBorders>
            <w:noWrap w:val="0"/>
            <w:vAlign w:val="center"/>
          </w:tcPr>
          <w:p w14:paraId="558BD137">
            <w:pPr>
              <w:spacing w:line="560" w:lineRule="exact"/>
              <w:jc w:val="center"/>
              <w:rPr>
                <w:rFonts w:ascii="仿宋_GB2312" w:hAnsi="宋体" w:eastAsia="仿宋_GB2312" w:cs="宋体"/>
                <w:sz w:val="28"/>
                <w:szCs w:val="28"/>
              </w:rPr>
            </w:pPr>
          </w:p>
        </w:tc>
      </w:tr>
    </w:tbl>
    <w:p w14:paraId="2AD2573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5956C">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1D9347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76469CBE"/>
    <w:multiLevelType w:val="singleLevel"/>
    <w:tmpl w:val="76469CBE"/>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46F331E"/>
    <w:rsid w:val="07956271"/>
    <w:rsid w:val="09721397"/>
    <w:rsid w:val="0BB63BED"/>
    <w:rsid w:val="0D8738DE"/>
    <w:rsid w:val="0EB97A43"/>
    <w:rsid w:val="0EBD2122"/>
    <w:rsid w:val="0F214EAE"/>
    <w:rsid w:val="11B71E6A"/>
    <w:rsid w:val="1AAF0063"/>
    <w:rsid w:val="1BE140DE"/>
    <w:rsid w:val="248C197D"/>
    <w:rsid w:val="252959AF"/>
    <w:rsid w:val="258263CE"/>
    <w:rsid w:val="277A6671"/>
    <w:rsid w:val="292D35B7"/>
    <w:rsid w:val="2CD95F7C"/>
    <w:rsid w:val="305E663B"/>
    <w:rsid w:val="33EB6CFF"/>
    <w:rsid w:val="35A12947"/>
    <w:rsid w:val="37387040"/>
    <w:rsid w:val="3B625C0A"/>
    <w:rsid w:val="3CEE1963"/>
    <w:rsid w:val="40D14C20"/>
    <w:rsid w:val="436B78D3"/>
    <w:rsid w:val="46480209"/>
    <w:rsid w:val="4C577861"/>
    <w:rsid w:val="4C9C27FE"/>
    <w:rsid w:val="512260B4"/>
    <w:rsid w:val="52BD6ACB"/>
    <w:rsid w:val="55537534"/>
    <w:rsid w:val="561A74F1"/>
    <w:rsid w:val="597244E8"/>
    <w:rsid w:val="5C6F4617"/>
    <w:rsid w:val="5EB71C30"/>
    <w:rsid w:val="65017B04"/>
    <w:rsid w:val="66AF0CE5"/>
    <w:rsid w:val="698C3DF7"/>
    <w:rsid w:val="6AC537CF"/>
    <w:rsid w:val="6B6F1273"/>
    <w:rsid w:val="6E5B14A6"/>
    <w:rsid w:val="6F0369CE"/>
    <w:rsid w:val="711B255E"/>
    <w:rsid w:val="7BB51E06"/>
    <w:rsid w:val="7C387F7C"/>
    <w:rsid w:val="7EBE7224"/>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uiPriority w:val="0"/>
    <w:pPr>
      <w:widowControl/>
      <w:spacing w:before="100" w:beforeAutospacing="1" w:after="100" w:afterAutospacing="1"/>
      <w:jc w:val="left"/>
    </w:pPr>
    <w:rPr>
      <w:rFonts w:ascii="宋体" w:hAnsi="宋体" w:cs="宋体"/>
      <w:kern w:val="0"/>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4469</Words>
  <Characters>4884</Characters>
  <Lines>4</Lines>
  <Paragraphs>1</Paragraphs>
  <TotalTime>2</TotalTime>
  <ScaleCrop>false</ScaleCrop>
  <LinksUpToDate>false</LinksUpToDate>
  <CharactersWithSpaces>4911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2026-05-09T06:35:00Z</cp:lastPrinted>
  <dcterms:modified xsi:type="dcterms:W3CDTF">2026-05-25T02:16:33Z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96934721B1514D3FBAA28020338CE855_12</vt:lpwstr>
  </property>
  <property fmtid="{D5CDD505-2E9C-101B-9397-08002B2CF9AE}" pid="4" name="KSOTemplateDocerSaveRecord">
    <vt:lpwstr>eyJoZGlkIjoiZTNhMzhmNjU3NDU2YjNiYWExNDJlM2Y4YTNjMzYyNWIiLCJ1c2VySWQiOiIxNTUwMjQwMDk2In0=</vt:lpwstr>
  </property>
</Properties>
</file>