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元氏县自然资源和规划局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贯彻落实县委县政府《关于全面落实预算绩效管理的实施意见》（元发﹝2019﹞7号）文件精神，遵循“科学性、规范性、客观性和公正性”的原则，对元氏县自然资源和规划局部门202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主要职能。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主要承担的职能和工作任务包括:保护与合理利用全县土地资源、矿产资源等自然资源，规范全县国土资源管理秩序，优化配置全县国土资源，规范全县国土资源权属管理，承担全县耕地保护，提供全县土地利用工资数据,节约集约利用全县土地资源，规范全县国土资源市场秩序，负责全县矿产资源开发管理，负责全县地质勘查行业和矿产资源储量管理,承担全县地质环境保护及全县地质灾害防治和治理，依法征收资源收益、规范、监督资金使用拟定全县土地、矿产资源参与经济调控的措施，拟定县级基础测绘规划和年度计划并组织实施,制定全县国土资源科技发展和人才培养规划、计划，推进国土资源信息化和信息资料的公共服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机构人员情况。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单位名称</w:t>
      </w:r>
      <w:r>
        <w:rPr>
          <w:rFonts w:hint="eastAsia" w:ascii="仿宋" w:hAnsi="仿宋" w:eastAsia="仿宋"/>
          <w:sz w:val="32"/>
          <w:szCs w:val="32"/>
          <w:lang w:eastAsia="zh-CN"/>
        </w:rPr>
        <w:t>：</w:t>
      </w:r>
      <w:r>
        <w:rPr>
          <w:rFonts w:hint="eastAsia" w:ascii="仿宋" w:hAnsi="仿宋" w:eastAsia="仿宋"/>
          <w:sz w:val="32"/>
          <w:szCs w:val="32"/>
        </w:rPr>
        <w:t>元氏县自然资源和规划局</w:t>
      </w:r>
      <w:r>
        <w:rPr>
          <w:rFonts w:hint="eastAsia" w:ascii="仿宋" w:hAnsi="仿宋" w:eastAsia="仿宋"/>
          <w:sz w:val="32"/>
          <w:szCs w:val="32"/>
          <w:lang w:eastAsia="zh-CN"/>
        </w:rPr>
        <w:t>，</w:t>
      </w:r>
      <w:r>
        <w:rPr>
          <w:rFonts w:hint="eastAsia" w:ascii="仿宋" w:hAnsi="仿宋" w:eastAsia="仿宋"/>
          <w:sz w:val="32"/>
          <w:szCs w:val="32"/>
        </w:rPr>
        <w:t>单位性质</w:t>
      </w:r>
      <w:r>
        <w:rPr>
          <w:rFonts w:hint="eastAsia" w:ascii="仿宋" w:hAnsi="仿宋" w:eastAsia="仿宋"/>
          <w:sz w:val="32"/>
          <w:szCs w:val="32"/>
          <w:lang w:eastAsia="zh-CN"/>
        </w:rPr>
        <w:t>：</w:t>
      </w:r>
      <w:r>
        <w:rPr>
          <w:rFonts w:hint="eastAsia" w:ascii="仿宋" w:hAnsi="仿宋" w:eastAsia="仿宋"/>
          <w:sz w:val="32"/>
          <w:szCs w:val="32"/>
        </w:rPr>
        <w:t>行政机关</w:t>
      </w:r>
      <w:r>
        <w:rPr>
          <w:rFonts w:hint="eastAsia" w:ascii="仿宋" w:hAnsi="仿宋" w:eastAsia="仿宋"/>
          <w:sz w:val="32"/>
          <w:szCs w:val="32"/>
          <w:lang w:eastAsia="zh-CN"/>
        </w:rPr>
        <w:t>，</w:t>
      </w:r>
      <w:r>
        <w:rPr>
          <w:rFonts w:hint="eastAsia" w:ascii="仿宋" w:hAnsi="仿宋" w:eastAsia="仿宋"/>
          <w:sz w:val="32"/>
          <w:szCs w:val="32"/>
        </w:rPr>
        <w:t>单位规格</w:t>
      </w:r>
      <w:r>
        <w:rPr>
          <w:rFonts w:hint="eastAsia" w:ascii="仿宋" w:hAnsi="仿宋" w:eastAsia="仿宋"/>
          <w:sz w:val="32"/>
          <w:szCs w:val="32"/>
          <w:lang w:eastAsia="zh-CN"/>
        </w:rPr>
        <w:t>：</w:t>
      </w:r>
      <w:r>
        <w:rPr>
          <w:rFonts w:hint="eastAsia" w:ascii="仿宋" w:hAnsi="仿宋" w:eastAsia="仿宋"/>
          <w:sz w:val="32"/>
          <w:szCs w:val="32"/>
        </w:rPr>
        <w:t>正科级</w:t>
      </w:r>
      <w:r>
        <w:rPr>
          <w:rFonts w:hint="eastAsia" w:ascii="仿宋" w:hAnsi="仿宋" w:eastAsia="仿宋"/>
          <w:sz w:val="32"/>
          <w:szCs w:val="32"/>
          <w:lang w:eastAsia="zh-CN"/>
        </w:rPr>
        <w:t>，</w:t>
      </w:r>
      <w:r>
        <w:rPr>
          <w:rFonts w:hint="eastAsia" w:ascii="仿宋" w:hAnsi="仿宋" w:eastAsia="仿宋"/>
          <w:sz w:val="32"/>
          <w:szCs w:val="32"/>
        </w:rPr>
        <w:t>年末实有人数9</w:t>
      </w:r>
      <w:r>
        <w:rPr>
          <w:rFonts w:hint="eastAsia" w:ascii="仿宋" w:hAnsi="仿宋" w:eastAsia="仿宋"/>
          <w:sz w:val="32"/>
          <w:szCs w:val="32"/>
          <w:lang w:val="en-US" w:eastAsia="zh-CN"/>
        </w:rPr>
        <w:t>6</w:t>
      </w:r>
      <w:r>
        <w:rPr>
          <w:rFonts w:hint="eastAsia" w:ascii="仿宋" w:hAnsi="仿宋" w:eastAsia="仿宋"/>
          <w:sz w:val="32"/>
          <w:szCs w:val="32"/>
          <w:lang w:eastAsia="zh-CN"/>
        </w:rPr>
        <w:t>人</w:t>
      </w:r>
      <w:bookmarkStart w:id="0" w:name="_GoBack"/>
      <w:bookmarkEnd w:id="0"/>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3</w:t>
      </w:r>
      <w:r>
        <w:rPr>
          <w:rFonts w:hint="eastAsia" w:ascii="仿宋" w:hAnsi="仿宋" w:eastAsia="仿宋"/>
          <w:sz w:val="32"/>
          <w:szCs w:val="32"/>
          <w:lang w:eastAsia="zh-CN"/>
        </w:rPr>
        <w:t>、</w:t>
      </w:r>
      <w:r>
        <w:rPr>
          <w:rFonts w:hint="eastAsia" w:ascii="仿宋" w:hAnsi="仿宋" w:eastAsia="仿宋"/>
          <w:sz w:val="32"/>
          <w:szCs w:val="32"/>
        </w:rPr>
        <w:t>资产情况。</w:t>
      </w:r>
    </w:p>
    <w:p>
      <w:pPr>
        <w:adjustRightInd w:val="0"/>
        <w:snapToGrid w:val="0"/>
        <w:spacing w:line="560" w:lineRule="exact"/>
        <w:ind w:firstLine="640" w:firstLineChars="200"/>
        <w:rPr>
          <w:rFonts w:hint="default" w:ascii="仿宋" w:hAnsi="仿宋" w:eastAsia="仿宋"/>
          <w:color w:val="auto"/>
          <w:sz w:val="32"/>
          <w:szCs w:val="32"/>
          <w:lang w:val="en-US" w:eastAsia="zh-CN"/>
        </w:rPr>
      </w:pPr>
      <w:r>
        <w:rPr>
          <w:rFonts w:hint="eastAsia" w:ascii="仿宋" w:hAnsi="仿宋" w:eastAsia="仿宋"/>
          <w:color w:val="auto"/>
          <w:sz w:val="32"/>
          <w:szCs w:val="32"/>
        </w:rPr>
        <w:t>我部门固定资产</w:t>
      </w:r>
      <w:r>
        <w:rPr>
          <w:rFonts w:hint="eastAsia" w:ascii="仿宋" w:hAnsi="仿宋" w:eastAsia="仿宋"/>
          <w:color w:val="auto"/>
          <w:sz w:val="32"/>
          <w:szCs w:val="32"/>
          <w:lang w:val="en-US" w:eastAsia="zh-CN"/>
        </w:rPr>
        <w:t>1000.82593</w:t>
      </w:r>
      <w:r>
        <w:rPr>
          <w:rFonts w:hint="eastAsia" w:ascii="仿宋" w:hAnsi="仿宋" w:eastAsia="仿宋"/>
          <w:color w:val="auto"/>
          <w:sz w:val="32"/>
          <w:szCs w:val="32"/>
        </w:rPr>
        <w:t>万元，其中:房屋构筑物</w:t>
      </w:r>
      <w:r>
        <w:rPr>
          <w:rFonts w:hint="eastAsia" w:ascii="仿宋" w:hAnsi="仿宋" w:eastAsia="仿宋"/>
          <w:color w:val="auto"/>
          <w:sz w:val="32"/>
          <w:szCs w:val="32"/>
          <w:lang w:val="en-US" w:eastAsia="zh-CN"/>
        </w:rPr>
        <w:t>402.36593</w:t>
      </w:r>
      <w:r>
        <w:rPr>
          <w:rFonts w:hint="eastAsia" w:ascii="仿宋" w:hAnsi="仿宋" w:eastAsia="仿宋"/>
          <w:color w:val="auto"/>
          <w:sz w:val="32"/>
          <w:szCs w:val="32"/>
        </w:rPr>
        <w:t>万元 ，</w:t>
      </w:r>
      <w:r>
        <w:rPr>
          <w:rFonts w:hint="eastAsia" w:ascii="仿宋" w:hAnsi="仿宋" w:eastAsia="仿宋"/>
          <w:color w:val="auto"/>
          <w:sz w:val="32"/>
          <w:szCs w:val="32"/>
          <w:lang w:eastAsia="zh-CN"/>
        </w:rPr>
        <w:t>车辆</w:t>
      </w:r>
      <w:r>
        <w:rPr>
          <w:rFonts w:hint="eastAsia" w:ascii="仿宋" w:hAnsi="仿宋" w:eastAsia="仿宋"/>
          <w:color w:val="auto"/>
          <w:sz w:val="32"/>
          <w:szCs w:val="32"/>
          <w:lang w:val="en-US" w:eastAsia="zh-CN"/>
        </w:rPr>
        <w:t>53.58万元，其他固定资产544.88万元。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仿宋" w:hAnsi="仿宋" w:eastAsia="仿宋"/>
          <w:color w:val="auto"/>
          <w:sz w:val="32"/>
          <w:szCs w:val="32"/>
        </w:rPr>
        <w:t>本部门202</w:t>
      </w:r>
      <w:r>
        <w:rPr>
          <w:rFonts w:hint="eastAsia" w:ascii="仿宋" w:hAnsi="仿宋" w:eastAsia="仿宋"/>
          <w:color w:val="auto"/>
          <w:sz w:val="32"/>
          <w:szCs w:val="32"/>
          <w:lang w:val="en-US" w:eastAsia="zh-CN"/>
        </w:rPr>
        <w:t>5</w:t>
      </w:r>
      <w:r>
        <w:rPr>
          <w:rFonts w:hint="eastAsia" w:ascii="仿宋" w:hAnsi="仿宋" w:eastAsia="仿宋"/>
          <w:color w:val="auto"/>
          <w:sz w:val="32"/>
          <w:szCs w:val="32"/>
        </w:rPr>
        <w:t>年度专项资金预算(调整后)</w:t>
      </w:r>
      <w:r>
        <w:rPr>
          <w:rFonts w:hint="eastAsia" w:ascii="仿宋" w:hAnsi="仿宋" w:eastAsia="仿宋" w:cs="仿宋_GB2312"/>
          <w:sz w:val="32"/>
          <w:szCs w:val="32"/>
          <w:lang w:val="en-US" w:eastAsia="zh-CN"/>
        </w:rPr>
        <w:t>53308.705815</w:t>
      </w:r>
      <w:r>
        <w:rPr>
          <w:rFonts w:hint="eastAsia" w:ascii="仿宋" w:hAnsi="仿宋" w:eastAsia="仿宋"/>
          <w:color w:val="auto"/>
          <w:sz w:val="32"/>
          <w:szCs w:val="32"/>
        </w:rPr>
        <w:t>万元，涉及项目</w:t>
      </w:r>
      <w:r>
        <w:rPr>
          <w:rFonts w:hint="eastAsia" w:ascii="仿宋" w:hAnsi="仿宋" w:eastAsia="仿宋"/>
          <w:color w:val="auto"/>
          <w:sz w:val="32"/>
          <w:szCs w:val="32"/>
          <w:lang w:val="en-US" w:eastAsia="zh-CN"/>
        </w:rPr>
        <w:t>87</w:t>
      </w:r>
      <w:r>
        <w:rPr>
          <w:rFonts w:hint="eastAsia" w:ascii="仿宋" w:hAnsi="仿宋" w:eastAsia="仿宋"/>
          <w:color w:val="auto"/>
          <w:sz w:val="32"/>
          <w:szCs w:val="32"/>
        </w:rPr>
        <w:t>个，全年预算执行数:</w:t>
      </w:r>
      <w:r>
        <w:rPr>
          <w:rFonts w:hint="eastAsia" w:ascii="仿宋" w:hAnsi="仿宋" w:eastAsia="仿宋" w:cs="仿宋_GB2312"/>
          <w:sz w:val="32"/>
          <w:szCs w:val="32"/>
          <w:lang w:val="en-US" w:eastAsia="zh-CN"/>
        </w:rPr>
        <w:t>50723.255671</w:t>
      </w:r>
      <w:r>
        <w:rPr>
          <w:rFonts w:hint="eastAsia" w:ascii="仿宋" w:hAnsi="仿宋" w:eastAsia="仿宋"/>
          <w:color w:val="auto"/>
          <w:sz w:val="32"/>
          <w:szCs w:val="32"/>
        </w:rPr>
        <w:t>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1、贯彻执行土地管理、矿产资源管理、地质环境保护法律、法规和政策:负责全县国土资源行政执法工作，调处土地使用权、采矿权权属纠纷，查处国土资源违法案件。</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国土资源执法监察对县级国土资源法律法规执行情况监督检查，及时发现、制止违法行为。对违法乱占土地、矿产案件依法查处，开展卫片执法监督检查，协调、联络土地督察机构，确保土地不违法、不流失、不浪费。绩效目标达到 100%。违法案件办结率绩效目标达到100%。</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2、全县地籍地政管理工作。负责全县的集体土地登记，土地初始登记，土地变更，注销和其他登记，农村集体土地确权登记。</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绩效目标:针对县级土地利用现状变化调查和检查，更新县级土地调查数据库，生成增量数据包，开展县级不动产统一登记工作。绩效目标达到100%。组织全县的不动产统一登记工作完成率达到 95%以上。</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拟定全县土地使用权规划、出让、租赁、作价出资、转让、交易、政府收购、储备的管理办法和乡镇村用地的管理办法并组织实施;指导农村集体非农土地使用权的流转管理;指导基准地价、标定地价评测;审查土地评估机构资格，确认和备案土地使用权价格。</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对全县地价和土地市场进行动态监测，为县政府宏观调控和稳定土地市场提供决策依据;掌握评价土地利用现状和节约集约程度，为科学管地用地提供依据。监测分析土地市场和地价动态。完成每年市政府下达的补充耕地任务，及满足本县耕地占补平衡。绩效目标达到 100%。全县总量平衡准确数据占报备数据的比例达到95%以上。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320" w:firstLineChars="100"/>
        <w:rPr>
          <w:rFonts w:ascii="楷体" w:hAnsi="楷体" w:eastAsia="楷体" w:cs="楷体_GB2312"/>
          <w:sz w:val="32"/>
          <w:szCs w:val="32"/>
        </w:rPr>
      </w:pPr>
      <w:r>
        <w:rPr>
          <w:rFonts w:hint="eastAsia" w:ascii="楷体" w:hAnsi="楷体" w:eastAsia="楷体" w:cs="楷体_GB2312"/>
          <w:bCs/>
          <w:sz w:val="32"/>
          <w:szCs w:val="32"/>
        </w:rPr>
        <w:t>（一）自评的组织工作</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为做好202</w:t>
      </w:r>
      <w:r>
        <w:rPr>
          <w:rFonts w:hint="eastAsia" w:ascii="仿宋" w:hAnsi="仿宋" w:eastAsia="仿宋"/>
          <w:sz w:val="32"/>
          <w:szCs w:val="32"/>
          <w:lang w:val="en-US" w:eastAsia="zh-CN"/>
        </w:rPr>
        <w:t>5</w:t>
      </w:r>
      <w:r>
        <w:rPr>
          <w:rFonts w:hint="eastAsia" w:ascii="仿宋" w:hAnsi="仿宋" w:eastAsia="仿宋"/>
          <w:sz w:val="32"/>
          <w:szCs w:val="32"/>
        </w:rPr>
        <w:t>年部门整体支出绩效自评工作，我局成立了分管领导任组长，办公室、</w:t>
      </w:r>
      <w:r>
        <w:rPr>
          <w:rFonts w:hint="eastAsia" w:ascii="仿宋" w:hAnsi="仿宋" w:eastAsia="仿宋"/>
          <w:sz w:val="32"/>
          <w:szCs w:val="32"/>
          <w:lang w:eastAsia="zh-CN"/>
        </w:rPr>
        <w:t>土地储备中心、用地审批股、</w:t>
      </w:r>
      <w:r>
        <w:rPr>
          <w:rFonts w:hint="eastAsia" w:ascii="仿宋" w:hAnsi="仿宋" w:eastAsia="仿宋"/>
          <w:sz w:val="32"/>
          <w:szCs w:val="32"/>
        </w:rPr>
        <w:t>耕地规划保护</w:t>
      </w:r>
      <w:r>
        <w:rPr>
          <w:rFonts w:hint="eastAsia" w:ascii="仿宋" w:hAnsi="仿宋" w:eastAsia="仿宋"/>
          <w:sz w:val="32"/>
          <w:szCs w:val="32"/>
          <w:lang w:eastAsia="zh-CN"/>
        </w:rPr>
        <w:t>股</w:t>
      </w:r>
      <w:r>
        <w:rPr>
          <w:rFonts w:hint="eastAsia" w:ascii="仿宋" w:hAnsi="仿宋" w:eastAsia="仿宋"/>
          <w:sz w:val="32"/>
          <w:szCs w:val="32"/>
        </w:rPr>
        <w:t>、</w:t>
      </w:r>
      <w:r>
        <w:rPr>
          <w:rFonts w:hint="eastAsia" w:ascii="仿宋" w:hAnsi="仿宋" w:eastAsia="仿宋"/>
          <w:sz w:val="32"/>
          <w:szCs w:val="32"/>
          <w:lang w:eastAsia="zh-CN"/>
        </w:rPr>
        <w:t>生态修复股、</w:t>
      </w:r>
      <w:r>
        <w:rPr>
          <w:rFonts w:hint="eastAsia" w:ascii="仿宋" w:hAnsi="仿宋" w:eastAsia="仿宋"/>
          <w:sz w:val="32"/>
          <w:szCs w:val="32"/>
        </w:rPr>
        <w:t>土地开发整理中心、</w:t>
      </w:r>
      <w:r>
        <w:rPr>
          <w:rFonts w:hint="eastAsia" w:ascii="仿宋" w:hAnsi="仿宋" w:eastAsia="仿宋"/>
          <w:sz w:val="32"/>
          <w:szCs w:val="32"/>
          <w:lang w:eastAsia="zh-CN"/>
        </w:rPr>
        <w:t>不动产登记中心</w:t>
      </w:r>
      <w:r>
        <w:rPr>
          <w:rFonts w:hint="eastAsia" w:ascii="仿宋" w:hAnsi="仿宋" w:eastAsia="仿宋"/>
          <w:sz w:val="32"/>
          <w:szCs w:val="32"/>
        </w:rPr>
        <w:t>、</w:t>
      </w:r>
      <w:r>
        <w:rPr>
          <w:rFonts w:hint="eastAsia" w:ascii="仿宋" w:hAnsi="仿宋" w:eastAsia="仿宋"/>
          <w:sz w:val="32"/>
          <w:szCs w:val="32"/>
          <w:lang w:eastAsia="zh-CN"/>
        </w:rPr>
        <w:t>森林保护股</w:t>
      </w:r>
      <w:r>
        <w:rPr>
          <w:rFonts w:hint="eastAsia" w:ascii="仿宋" w:hAnsi="仿宋" w:eastAsia="仿宋"/>
          <w:sz w:val="32"/>
          <w:szCs w:val="32"/>
        </w:rPr>
        <w:t>、</w:t>
      </w:r>
      <w:r>
        <w:rPr>
          <w:rFonts w:hint="eastAsia" w:ascii="仿宋" w:hAnsi="仿宋" w:eastAsia="仿宋"/>
          <w:sz w:val="32"/>
          <w:szCs w:val="32"/>
          <w:lang w:eastAsia="zh-CN"/>
        </w:rPr>
        <w:t>空间规划股</w:t>
      </w:r>
      <w:r>
        <w:rPr>
          <w:rFonts w:hint="eastAsia" w:ascii="仿宋" w:hAnsi="仿宋" w:eastAsia="仿宋"/>
          <w:sz w:val="32"/>
          <w:szCs w:val="32"/>
        </w:rPr>
        <w:t>等相关</w:t>
      </w:r>
      <w:r>
        <w:rPr>
          <w:rFonts w:hint="eastAsia" w:ascii="仿宋" w:hAnsi="仿宋" w:eastAsia="仿宋"/>
          <w:sz w:val="32"/>
          <w:szCs w:val="32"/>
          <w:lang w:eastAsia="zh-CN"/>
        </w:rPr>
        <w:t>股</w:t>
      </w:r>
      <w:r>
        <w:rPr>
          <w:rFonts w:hint="eastAsia" w:ascii="仿宋" w:hAnsi="仿宋" w:eastAsia="仿宋"/>
          <w:sz w:val="32"/>
          <w:szCs w:val="32"/>
        </w:rPr>
        <w:t>室</w:t>
      </w:r>
      <w:r>
        <w:rPr>
          <w:rFonts w:hint="eastAsia" w:ascii="仿宋" w:hAnsi="仿宋" w:eastAsia="仿宋"/>
          <w:sz w:val="32"/>
          <w:szCs w:val="32"/>
          <w:lang w:eastAsia="zh-CN"/>
        </w:rPr>
        <w:t>、事业单位负责人</w:t>
      </w:r>
      <w:r>
        <w:rPr>
          <w:rFonts w:hint="eastAsia" w:ascii="仿宋" w:hAnsi="仿宋" w:eastAsia="仿宋"/>
          <w:sz w:val="32"/>
          <w:szCs w:val="32"/>
        </w:rPr>
        <w:t>为组员</w:t>
      </w:r>
      <w:r>
        <w:rPr>
          <w:rFonts w:hint="eastAsia" w:ascii="仿宋" w:hAnsi="仿宋" w:eastAsia="仿宋"/>
          <w:sz w:val="32"/>
          <w:szCs w:val="32"/>
          <w:lang w:eastAsia="zh-CN"/>
        </w:rPr>
        <w:t>的</w:t>
      </w:r>
      <w:r>
        <w:rPr>
          <w:rFonts w:hint="eastAsia" w:ascii="仿宋" w:hAnsi="仿宋" w:eastAsia="仿宋"/>
          <w:sz w:val="32"/>
          <w:szCs w:val="32"/>
        </w:rPr>
        <w:t>绩效自评工作领导小组，办公室负责此次绩效自评的牵头组织。审核、汇总，各相关</w:t>
      </w:r>
      <w:r>
        <w:rPr>
          <w:rFonts w:hint="eastAsia" w:ascii="仿宋" w:hAnsi="仿宋" w:eastAsia="仿宋"/>
          <w:sz w:val="32"/>
          <w:szCs w:val="32"/>
          <w:lang w:eastAsia="zh-CN"/>
        </w:rPr>
        <w:t>股</w:t>
      </w:r>
      <w:r>
        <w:rPr>
          <w:rFonts w:hint="eastAsia" w:ascii="仿宋" w:hAnsi="仿宋" w:eastAsia="仿宋"/>
          <w:sz w:val="32"/>
          <w:szCs w:val="32"/>
        </w:rPr>
        <w:t>室负责所管理项目的绩效自评。结合去年该项工作经验，确保此项工作能够保质保量完成。</w:t>
      </w:r>
    </w:p>
    <w:p>
      <w:pPr>
        <w:numPr>
          <w:ilvl w:val="0"/>
          <w:numId w:val="2"/>
        </w:numPr>
        <w:spacing w:line="560" w:lineRule="exact"/>
        <w:rPr>
          <w:rFonts w:hint="eastAsia" w:ascii="仿宋" w:hAnsi="仿宋" w:eastAsia="仿宋"/>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为提高自评结果的客观公正性，本着科学规范、客观公正。注重实效的原则，领导小组对部门整体支出绩效自评作进行了周密部署，转发了《元氏县财政局关于开展 202</w:t>
      </w:r>
      <w:r>
        <w:rPr>
          <w:rFonts w:hint="eastAsia" w:ascii="仿宋" w:hAnsi="仿宋" w:eastAsia="仿宋"/>
          <w:sz w:val="32"/>
          <w:szCs w:val="32"/>
          <w:lang w:val="en-US" w:eastAsia="zh-CN"/>
        </w:rPr>
        <w:t>6</w:t>
      </w:r>
      <w:r>
        <w:rPr>
          <w:rFonts w:hint="eastAsia" w:ascii="仿宋" w:hAnsi="仿宋" w:eastAsia="仿宋"/>
          <w:sz w:val="32"/>
          <w:szCs w:val="32"/>
        </w:rPr>
        <w:t>年绩效自评工作的通知》，明确了绩效自评的方法、步骤，对自评工作提出了明确要求。财务</w:t>
      </w:r>
      <w:r>
        <w:rPr>
          <w:rFonts w:hint="eastAsia" w:ascii="仿宋" w:hAnsi="仿宋" w:eastAsia="仿宋"/>
          <w:sz w:val="32"/>
          <w:szCs w:val="32"/>
          <w:lang w:eastAsia="zh-CN"/>
        </w:rPr>
        <w:t>股</w:t>
      </w:r>
      <w:r>
        <w:rPr>
          <w:rFonts w:hint="eastAsia" w:ascii="仿宋" w:hAnsi="仿宋" w:eastAsia="仿宋"/>
          <w:sz w:val="32"/>
          <w:szCs w:val="32"/>
        </w:rPr>
        <w:t>及各相关</w:t>
      </w:r>
      <w:r>
        <w:rPr>
          <w:rFonts w:hint="eastAsia" w:ascii="仿宋" w:hAnsi="仿宋" w:eastAsia="仿宋"/>
          <w:sz w:val="32"/>
          <w:szCs w:val="32"/>
          <w:lang w:eastAsia="zh-CN"/>
        </w:rPr>
        <w:t>股</w:t>
      </w:r>
      <w:r>
        <w:rPr>
          <w:rFonts w:hint="eastAsia" w:ascii="仿宋" w:hAnsi="仿宋" w:eastAsia="仿宋"/>
          <w:sz w:val="32"/>
          <w:szCs w:val="32"/>
        </w:rPr>
        <w:t>室接到通知后按照自评方案要求，积极做好数据收集、现场核查、满意度调查等相关工作，及时提供整体支出绩效自评相关材料，确保按时保质完成自评工作。说明评价资料收集、评价过程、评价工作管理组织等情况。</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spacing w:line="560" w:lineRule="exact"/>
        <w:ind w:firstLine="800" w:firstLineChars="250"/>
        <w:rPr>
          <w:rFonts w:hint="eastAsia" w:ascii="楷体" w:hAnsi="楷体" w:eastAsia="楷体" w:cs="楷体_GB2312"/>
          <w:bCs/>
          <w:sz w:val="32"/>
          <w:szCs w:val="32"/>
        </w:rPr>
      </w:pPr>
      <w:r>
        <w:rPr>
          <w:rFonts w:hint="eastAsia" w:ascii="楷体" w:hAnsi="楷体" w:eastAsia="楷体" w:cs="楷体_GB2312"/>
          <w:bCs/>
          <w:sz w:val="32"/>
          <w:szCs w:val="32"/>
          <w:lang w:eastAsia="zh-CN"/>
        </w:rPr>
        <w:t>（一）</w:t>
      </w: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从上述绩效指标实现程度可以看出，202</w:t>
      </w:r>
      <w:r>
        <w:rPr>
          <w:rFonts w:hint="eastAsia" w:ascii="仿宋" w:hAnsi="仿宋" w:eastAsia="仿宋"/>
          <w:sz w:val="32"/>
          <w:szCs w:val="32"/>
          <w:lang w:val="en-US" w:eastAsia="zh-CN"/>
        </w:rPr>
        <w:t>5</w:t>
      </w:r>
      <w:r>
        <w:rPr>
          <w:rFonts w:hint="eastAsia" w:ascii="仿宋" w:hAnsi="仿宋" w:eastAsia="仿宋"/>
          <w:sz w:val="32"/>
          <w:szCs w:val="32"/>
        </w:rPr>
        <w:t>年元氏县自然资源和规划局总体绩效目标、各分项绩效目标及绩效指标均圆满完成。</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default" w:ascii="仿宋_GB2312" w:hAnsi="黑体" w:eastAsia="仿宋_GB2312" w:cs="黑体"/>
          <w:color w:val="0000FF"/>
          <w:spacing w:val="6"/>
          <w:sz w:val="32"/>
          <w:szCs w:val="32"/>
          <w:lang w:val="en-US" w:eastAsia="zh-CN"/>
        </w:rPr>
      </w:pPr>
      <w:r>
        <w:rPr>
          <w:rFonts w:hint="eastAsia" w:ascii="仿宋" w:hAnsi="仿宋" w:eastAsia="仿宋"/>
          <w:sz w:val="32"/>
          <w:szCs w:val="32"/>
          <w:lang w:val="en-US" w:eastAsia="zh-CN"/>
        </w:rPr>
        <w:t>1、产出数量指标分析：</w:t>
      </w:r>
      <w:r>
        <w:rPr>
          <w:rFonts w:hint="eastAsia" w:ascii="仿宋" w:hAnsi="仿宋" w:eastAsia="仿宋"/>
          <w:color w:val="auto"/>
          <w:sz w:val="32"/>
          <w:szCs w:val="32"/>
          <w:lang w:val="en-US" w:eastAsia="zh-CN"/>
        </w:rPr>
        <w:t>1、日常巡查覆盖率达到了95%以上</w:t>
      </w:r>
      <w:r>
        <w:rPr>
          <w:rFonts w:hint="eastAsia" w:ascii="仿宋" w:hAnsi="仿宋" w:eastAsia="仿宋"/>
          <w:color w:val="auto"/>
          <w:sz w:val="32"/>
          <w:szCs w:val="32"/>
        </w:rPr>
        <w:t>。</w:t>
      </w:r>
      <w:r>
        <w:rPr>
          <w:rFonts w:hint="eastAsia" w:ascii="仿宋" w:hAnsi="仿宋" w:eastAsia="仿宋"/>
          <w:color w:val="auto"/>
          <w:sz w:val="32"/>
          <w:szCs w:val="32"/>
          <w:lang w:val="en-US" w:eastAsia="zh-CN"/>
        </w:rPr>
        <w:t>2、组织全县的不动产统一登记工作完成率（%）达到90</w:t>
      </w:r>
      <w:r>
        <w:rPr>
          <w:rFonts w:hint="eastAsia" w:ascii="仿宋" w:hAnsi="仿宋" w:eastAsia="仿宋"/>
          <w:color w:val="auto"/>
          <w:spacing w:val="6"/>
          <w:kern w:val="0"/>
          <w:sz w:val="32"/>
          <w:szCs w:val="32"/>
        </w:rPr>
        <w:t>%</w:t>
      </w:r>
      <w:r>
        <w:rPr>
          <w:rFonts w:hint="eastAsia" w:ascii="仿宋" w:hAnsi="仿宋" w:eastAsia="仿宋"/>
          <w:color w:val="auto"/>
          <w:spacing w:val="6"/>
          <w:kern w:val="0"/>
          <w:sz w:val="32"/>
          <w:szCs w:val="32"/>
          <w:lang w:eastAsia="zh-CN"/>
        </w:rPr>
        <w:t>以上</w:t>
      </w:r>
      <w:r>
        <w:rPr>
          <w:rFonts w:hint="eastAsia" w:ascii="仿宋" w:hAnsi="仿宋" w:eastAsia="仿宋"/>
          <w:color w:val="auto"/>
          <w:spacing w:val="6"/>
          <w:kern w:val="0"/>
          <w:sz w:val="32"/>
          <w:szCs w:val="32"/>
        </w:rPr>
        <w:t>。</w:t>
      </w:r>
      <w:r>
        <w:rPr>
          <w:rFonts w:hint="eastAsia" w:ascii="仿宋" w:hAnsi="仿宋" w:eastAsia="仿宋"/>
          <w:color w:val="auto"/>
          <w:sz w:val="32"/>
          <w:szCs w:val="32"/>
          <w:lang w:val="en-US" w:eastAsia="zh-CN"/>
        </w:rPr>
        <w:t>3、征迁安置过渡费发放补助人数（户）386.00户。4、林业有害生物防治面积（万亩）2.5万亩。5、聘用森林防火重点乡镇护林员62</w:t>
      </w:r>
      <w:r>
        <w:rPr>
          <w:rFonts w:hint="eastAsia" w:ascii="仿宋" w:hAnsi="仿宋" w:eastAsia="仿宋"/>
          <w:color w:val="auto"/>
          <w:sz w:val="32"/>
          <w:szCs w:val="32"/>
          <w:lang w:val="en-US" w:eastAsia="zh-CN"/>
        </w:rPr>
        <w:tab/>
      </w:r>
      <w:r>
        <w:rPr>
          <w:rFonts w:hint="eastAsia" w:ascii="仿宋" w:hAnsi="仿宋" w:eastAsia="仿宋"/>
          <w:color w:val="auto"/>
          <w:sz w:val="32"/>
          <w:szCs w:val="32"/>
          <w:lang w:val="en-US" w:eastAsia="zh-CN"/>
        </w:rPr>
        <w:t>人。6、环城绿化林带建设面积35.56亩。7、</w:t>
      </w:r>
      <w:r>
        <w:rPr>
          <w:rFonts w:hint="eastAsia" w:ascii="仿宋_GB2312" w:hAnsi="黑体" w:eastAsia="仿宋_GB2312" w:cs="黑体"/>
          <w:color w:val="auto"/>
          <w:spacing w:val="6"/>
          <w:sz w:val="32"/>
          <w:szCs w:val="32"/>
        </w:rPr>
        <w:t>人工造林完成上级下达全年</w:t>
      </w:r>
      <w:r>
        <w:rPr>
          <w:rFonts w:hint="eastAsia" w:ascii="仿宋_GB2312" w:hAnsi="黑体" w:eastAsia="仿宋_GB2312" w:cs="黑体"/>
          <w:b w:val="0"/>
          <w:bCs/>
          <w:color w:val="auto"/>
          <w:spacing w:val="6"/>
          <w:sz w:val="32"/>
          <w:szCs w:val="32"/>
        </w:rPr>
        <w:t>任务</w:t>
      </w:r>
      <w:r>
        <w:rPr>
          <w:rFonts w:hint="eastAsia" w:ascii="仿宋_GB2312" w:hAnsi="黑体" w:eastAsia="仿宋_GB2312" w:cs="黑体"/>
          <w:color w:val="auto"/>
          <w:spacing w:val="6"/>
          <w:sz w:val="32"/>
          <w:szCs w:val="32"/>
          <w:lang w:val="en-US" w:eastAsia="zh-CN"/>
        </w:rPr>
        <w:t>1000</w:t>
      </w:r>
      <w:r>
        <w:rPr>
          <w:rFonts w:hint="eastAsia" w:ascii="仿宋_GB2312" w:hAnsi="黑体" w:eastAsia="仿宋_GB2312" w:cs="黑体"/>
          <w:color w:val="auto"/>
          <w:spacing w:val="6"/>
          <w:sz w:val="32"/>
          <w:szCs w:val="32"/>
        </w:rPr>
        <w:t>亩，创建省级森林乡村1个，森林质量提升村5个</w:t>
      </w:r>
      <w:r>
        <w:rPr>
          <w:rFonts w:hint="eastAsia" w:ascii="仿宋_GB2312" w:hAnsi="黑体" w:eastAsia="仿宋_GB2312" w:cs="黑体"/>
          <w:color w:val="auto"/>
          <w:spacing w:val="6"/>
          <w:sz w:val="32"/>
          <w:szCs w:val="32"/>
          <w:lang w:eastAsia="zh-CN"/>
        </w:rPr>
        <w:t>。</w:t>
      </w:r>
      <w:r>
        <w:rPr>
          <w:rFonts w:hint="eastAsia" w:ascii="仿宋_GB2312" w:hAnsi="黑体" w:eastAsia="仿宋_GB2312" w:cs="黑体"/>
          <w:color w:val="auto"/>
          <w:spacing w:val="6"/>
          <w:sz w:val="32"/>
          <w:szCs w:val="32"/>
          <w:lang w:val="en-US" w:eastAsia="zh-CN"/>
        </w:rPr>
        <w:t>8、完成国家级公益林补助资金6.7482万亩。9、完成4株濒危一级保护古树名木的抢救复壮实施工作。10、对项目区600亩核桃树提质增效。</w:t>
      </w:r>
      <w:r>
        <w:rPr>
          <w:rFonts w:hint="eastAsia" w:ascii="仿宋_GB2312" w:hAnsi="黑体" w:eastAsia="仿宋_GB2312" w:cs="黑体"/>
          <w:color w:val="0000FF"/>
          <w:spacing w:val="6"/>
          <w:sz w:val="32"/>
          <w:szCs w:val="32"/>
          <w:lang w:val="en-US" w:eastAsia="zh-CN"/>
        </w:rPr>
        <w:tab/>
      </w:r>
      <w:r>
        <w:rPr>
          <w:rFonts w:hint="eastAsia" w:ascii="仿宋_GB2312" w:hAnsi="黑体" w:eastAsia="仿宋_GB2312" w:cs="黑体"/>
          <w:color w:val="0000FF"/>
          <w:spacing w:val="6"/>
          <w:sz w:val="32"/>
          <w:szCs w:val="32"/>
          <w:lang w:val="en-US" w:eastAsia="zh-CN"/>
        </w:rPr>
        <w:tab/>
      </w:r>
      <w:r>
        <w:rPr>
          <w:rFonts w:hint="eastAsia" w:ascii="仿宋_GB2312" w:hAnsi="黑体" w:eastAsia="仿宋_GB2312" w:cs="黑体"/>
          <w:color w:val="0000FF"/>
          <w:spacing w:val="6"/>
          <w:sz w:val="32"/>
          <w:szCs w:val="32"/>
          <w:lang w:val="en-US" w:eastAsia="zh-CN"/>
        </w:rPr>
        <w:tab/>
      </w:r>
      <w:r>
        <w:rPr>
          <w:rFonts w:hint="eastAsia" w:ascii="仿宋_GB2312" w:hAnsi="黑体" w:eastAsia="仿宋_GB2312" w:cs="黑体"/>
          <w:color w:val="0000FF"/>
          <w:spacing w:val="6"/>
          <w:sz w:val="32"/>
          <w:szCs w:val="32"/>
          <w:lang w:val="en-US" w:eastAsia="zh-CN"/>
        </w:rPr>
        <w:tab/>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2、产出质量指标分析：</w:t>
      </w:r>
      <w:r>
        <w:rPr>
          <w:rFonts w:hint="eastAsia" w:ascii="仿宋" w:hAnsi="仿宋" w:eastAsia="仿宋"/>
          <w:sz w:val="32"/>
          <w:szCs w:val="32"/>
        </w:rPr>
        <w:t>数据准确率</w:t>
      </w:r>
      <w:r>
        <w:rPr>
          <w:rFonts w:hint="eastAsia" w:ascii="仿宋" w:hAnsi="仿宋" w:eastAsia="仿宋"/>
          <w:sz w:val="32"/>
          <w:szCs w:val="32"/>
          <w:lang w:eastAsia="zh-CN"/>
        </w:rPr>
        <w:t>达到</w:t>
      </w:r>
      <w:r>
        <w:rPr>
          <w:rFonts w:hint="eastAsia" w:ascii="仿宋" w:hAnsi="仿宋" w:eastAsia="仿宋"/>
          <w:sz w:val="32"/>
          <w:szCs w:val="32"/>
          <w:lang w:val="en-US" w:eastAsia="zh-CN"/>
        </w:rPr>
        <w:t>95%，</w:t>
      </w:r>
      <w:r>
        <w:rPr>
          <w:rFonts w:hint="eastAsia" w:ascii="仿宋" w:hAnsi="仿宋" w:eastAsia="仿宋"/>
          <w:sz w:val="32"/>
          <w:szCs w:val="32"/>
        </w:rPr>
        <w:t>按时完成任务</w:t>
      </w:r>
      <w:r>
        <w:rPr>
          <w:rFonts w:hint="eastAsia" w:ascii="仿宋" w:hAnsi="仿宋" w:eastAsia="仿宋"/>
          <w:sz w:val="32"/>
          <w:szCs w:val="32"/>
          <w:lang w:eastAsia="zh-CN"/>
        </w:rPr>
        <w:t>达到</w:t>
      </w:r>
      <w:r>
        <w:rPr>
          <w:rFonts w:hint="eastAsia" w:ascii="仿宋" w:hAnsi="仿宋" w:eastAsia="仿宋"/>
          <w:sz w:val="32"/>
          <w:szCs w:val="32"/>
          <w:lang w:val="en-US" w:eastAsia="zh-CN"/>
        </w:rPr>
        <w:t>95%以上，</w:t>
      </w:r>
      <w:r>
        <w:rPr>
          <w:rFonts w:hint="eastAsia" w:ascii="仿宋" w:hAnsi="仿宋" w:eastAsia="仿宋"/>
          <w:sz w:val="32"/>
          <w:szCs w:val="32"/>
        </w:rPr>
        <w:t>造林完成面积合格率</w:t>
      </w:r>
      <w:r>
        <w:rPr>
          <w:rFonts w:hint="eastAsia" w:ascii="仿宋" w:hAnsi="仿宋" w:eastAsia="仿宋"/>
          <w:sz w:val="32"/>
          <w:szCs w:val="32"/>
          <w:lang w:val="en-US" w:eastAsia="zh-CN"/>
        </w:rPr>
        <w:t>90%</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3、产出时效指标分析：及时拨付达到95%以上。</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4、产出成本指标分析：项目支出成本控制在预算内，且符合国家或相关部门支出标准。</w:t>
      </w:r>
    </w:p>
    <w:p>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5、效益指标：从经济效益、社会效益、生态效益、可持续影响等指标。开展的各项工作有效改善生态环境，防止水土流失，促进社会和谐稳定。</w:t>
      </w:r>
    </w:p>
    <w:p>
      <w:pPr>
        <w:spacing w:line="560" w:lineRule="exact"/>
        <w:ind w:firstLine="800" w:firstLineChars="250"/>
        <w:rPr>
          <w:rFonts w:ascii="仿宋" w:hAnsi="仿宋" w:eastAsia="仿宋"/>
          <w:color w:val="0000FF"/>
          <w:sz w:val="32"/>
          <w:szCs w:val="32"/>
        </w:rPr>
      </w:pPr>
      <w:r>
        <w:rPr>
          <w:rFonts w:hint="eastAsia" w:ascii="仿宋" w:hAnsi="仿宋" w:eastAsia="仿宋"/>
          <w:sz w:val="32"/>
          <w:szCs w:val="32"/>
          <w:lang w:val="en-US" w:eastAsia="zh-CN"/>
        </w:rPr>
        <w:t>6、满意度指标：服务对象满意度95%以上，较满意。</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eastAsia="zh-CN"/>
        </w:rPr>
        <w:t>自然资源和规划局</w:t>
      </w:r>
      <w:r>
        <w:rPr>
          <w:rFonts w:hint="eastAsia" w:ascii="仿宋" w:hAnsi="仿宋" w:eastAsia="仿宋"/>
          <w:sz w:val="32"/>
          <w:szCs w:val="32"/>
        </w:rPr>
        <w:t>整体支出绩效自评结果为优秀等级。</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部门对绩效评价工作的重视程度不够，重要性有待进一步提高。项目支出绩效评价指标体系不完善。</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建议:县财政加大对自然资源工作的资金支持力度，强化整体支出绩效管理，推进元氏县自然资源高质量发展。</w:t>
      </w:r>
    </w:p>
    <w:p>
      <w:pPr>
        <w:spacing w:line="560" w:lineRule="exact"/>
        <w:ind w:firstLine="640" w:firstLineChars="200"/>
        <w:rPr>
          <w:rFonts w:ascii="楷体" w:hAnsi="楷体" w:eastAsia="楷体"/>
          <w:bCs/>
          <w:sz w:val="32"/>
          <w:szCs w:val="32"/>
        </w:rPr>
      </w:pPr>
      <w:r>
        <w:rPr>
          <w:rFonts w:hint="eastAsia" w:ascii="仿宋" w:hAnsi="仿宋" w:eastAsia="仿宋"/>
          <w:sz w:val="32"/>
          <w:szCs w:val="32"/>
        </w:rPr>
        <w:t>改进措施:一是加强绩效目标的刚性约束，把绩效评价结果作为衡量部门整体绩效目标实现情况和工作完成情况的重要依据;二是加强对绩效的全程跟踪定期对绩效目标执行情况进行跟踪分析，及时发现、解决存在的问题:三是要加强绩效评价结果应用，把绩效评价结果作为加强改进管理、调整资金支出方向和安排下一年度预算的重要依据。</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9659" w:type="dxa"/>
        <w:tblInd w:w="-406"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96"/>
        <w:gridCol w:w="1365"/>
        <w:gridCol w:w="3994"/>
        <w:gridCol w:w="2169"/>
        <w:gridCol w:w="1135"/>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tcPr>
          <w:p>
            <w:pPr>
              <w:jc w:val="center"/>
              <w:rPr>
                <w:sz w:val="32"/>
                <w:szCs w:val="32"/>
              </w:rPr>
            </w:pPr>
            <w:r>
              <w:rPr>
                <w:rFonts w:hint="eastAsia"/>
                <w:sz w:val="32"/>
                <w:szCs w:val="32"/>
              </w:rPr>
              <w:t>序号</w:t>
            </w:r>
          </w:p>
        </w:tc>
        <w:tc>
          <w:tcPr>
            <w:tcW w:w="1365" w:type="dxa"/>
          </w:tcPr>
          <w:p>
            <w:pPr>
              <w:jc w:val="center"/>
              <w:rPr>
                <w:sz w:val="32"/>
                <w:szCs w:val="32"/>
              </w:rPr>
            </w:pPr>
            <w:r>
              <w:rPr>
                <w:rFonts w:hint="eastAsia"/>
                <w:sz w:val="32"/>
                <w:szCs w:val="32"/>
              </w:rPr>
              <w:t>姓名</w:t>
            </w:r>
          </w:p>
        </w:tc>
        <w:tc>
          <w:tcPr>
            <w:tcW w:w="3994" w:type="dxa"/>
          </w:tcPr>
          <w:p>
            <w:pPr>
              <w:jc w:val="center"/>
              <w:rPr>
                <w:sz w:val="32"/>
                <w:szCs w:val="32"/>
              </w:rPr>
            </w:pPr>
            <w:r>
              <w:rPr>
                <w:rFonts w:hint="eastAsia"/>
                <w:sz w:val="32"/>
                <w:szCs w:val="32"/>
              </w:rPr>
              <w:t>工作单位</w:t>
            </w:r>
          </w:p>
        </w:tc>
        <w:tc>
          <w:tcPr>
            <w:tcW w:w="2169" w:type="dxa"/>
          </w:tcPr>
          <w:p>
            <w:pPr>
              <w:jc w:val="center"/>
              <w:rPr>
                <w:sz w:val="32"/>
                <w:szCs w:val="32"/>
              </w:rPr>
            </w:pPr>
            <w:r>
              <w:rPr>
                <w:rFonts w:hint="eastAsia"/>
                <w:sz w:val="32"/>
                <w:szCs w:val="32"/>
              </w:rPr>
              <w:t>职务</w:t>
            </w:r>
          </w:p>
        </w:tc>
        <w:tc>
          <w:tcPr>
            <w:tcW w:w="1135" w:type="dxa"/>
          </w:tcPr>
          <w:p>
            <w:pPr>
              <w:jc w:val="center"/>
              <w:rPr>
                <w:sz w:val="32"/>
                <w:szCs w:val="32"/>
              </w:rPr>
            </w:pPr>
            <w:r>
              <w:rPr>
                <w:rFonts w:hint="eastAsia"/>
                <w:sz w:val="32"/>
                <w:szCs w:val="32"/>
              </w:rPr>
              <w:t>签字</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71" w:hRule="atLeast"/>
        </w:trPr>
        <w:tc>
          <w:tcPr>
            <w:tcW w:w="996"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1</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周海燕</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党组成员</w:t>
            </w:r>
          </w:p>
        </w:tc>
        <w:tc>
          <w:tcPr>
            <w:tcW w:w="1135" w:type="dxa"/>
          </w:tcPr>
          <w:p>
            <w:pPr>
              <w:spacing w:line="560" w:lineRule="exact"/>
              <w:ind w:firstLine="640" w:firstLineChars="200"/>
              <w:jc w:val="center"/>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71" w:hRule="atLeast"/>
        </w:trPr>
        <w:tc>
          <w:tcPr>
            <w:tcW w:w="996"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2</w:t>
            </w:r>
          </w:p>
        </w:tc>
        <w:tc>
          <w:tcPr>
            <w:tcW w:w="1365"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曹文楷</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办公室主任</w:t>
            </w:r>
          </w:p>
        </w:tc>
        <w:tc>
          <w:tcPr>
            <w:tcW w:w="1135" w:type="dxa"/>
          </w:tcPr>
          <w:p>
            <w:pPr>
              <w:spacing w:line="560" w:lineRule="exact"/>
              <w:ind w:firstLine="640" w:firstLineChars="200"/>
              <w:jc w:val="center"/>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71" w:hRule="atLeast"/>
        </w:trPr>
        <w:tc>
          <w:tcPr>
            <w:tcW w:w="996" w:type="dxa"/>
            <w:vAlign w:val="center"/>
          </w:tcPr>
          <w:p>
            <w:pPr>
              <w:spacing w:line="560" w:lineRule="exact"/>
              <w:jc w:val="center"/>
              <w:rPr>
                <w:rFonts w:hint="eastAsia" w:ascii="仿宋" w:hAnsi="仿宋" w:eastAsia="仿宋"/>
                <w:sz w:val="32"/>
                <w:szCs w:val="32"/>
                <w:lang w:val="en-US" w:eastAsia="zh-CN"/>
              </w:rPr>
            </w:pPr>
            <w:r>
              <w:rPr>
                <w:rFonts w:hint="eastAsia" w:ascii="仿宋" w:hAnsi="仿宋" w:eastAsia="仿宋"/>
                <w:sz w:val="32"/>
                <w:szCs w:val="32"/>
                <w:lang w:val="en-US" w:eastAsia="zh-CN"/>
              </w:rPr>
              <w:t>3</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张国辉</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土地储备中心负责人</w:t>
            </w:r>
          </w:p>
        </w:tc>
        <w:tc>
          <w:tcPr>
            <w:tcW w:w="1135" w:type="dxa"/>
          </w:tcPr>
          <w:p>
            <w:pPr>
              <w:spacing w:line="560" w:lineRule="exact"/>
              <w:ind w:firstLine="640" w:firstLineChars="200"/>
              <w:jc w:val="center"/>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val="en-US" w:eastAsia="zh-CN"/>
              </w:rPr>
              <w:t>4</w:t>
            </w:r>
          </w:p>
        </w:tc>
        <w:tc>
          <w:tcPr>
            <w:tcW w:w="1365"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耿少辉</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用地审批股股长</w:t>
            </w:r>
          </w:p>
        </w:tc>
        <w:tc>
          <w:tcPr>
            <w:tcW w:w="1135" w:type="dxa"/>
          </w:tcPr>
          <w:p>
            <w:pPr>
              <w:spacing w:line="560" w:lineRule="exact"/>
              <w:ind w:firstLine="640" w:firstLineChars="200"/>
              <w:jc w:val="center"/>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default" w:ascii="仿宋" w:hAnsi="仿宋" w:eastAsia="仿宋"/>
                <w:sz w:val="32"/>
                <w:szCs w:val="32"/>
                <w:lang w:val="en-US" w:eastAsia="zh-CN"/>
              </w:rPr>
            </w:pPr>
            <w:r>
              <w:rPr>
                <w:rFonts w:hint="eastAsia" w:ascii="仿宋" w:hAnsi="仿宋" w:eastAsia="仿宋"/>
                <w:sz w:val="32"/>
                <w:szCs w:val="32"/>
                <w:lang w:val="en-US" w:eastAsia="zh-CN"/>
              </w:rPr>
              <w:t>5</w:t>
            </w:r>
          </w:p>
        </w:tc>
        <w:tc>
          <w:tcPr>
            <w:tcW w:w="1365"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周倩坤</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开发中心主任</w:t>
            </w:r>
          </w:p>
        </w:tc>
        <w:tc>
          <w:tcPr>
            <w:tcW w:w="1135" w:type="dxa"/>
          </w:tcPr>
          <w:p>
            <w:pPr>
              <w:spacing w:line="560" w:lineRule="exact"/>
              <w:ind w:firstLine="640" w:firstLineChars="200"/>
              <w:jc w:val="center"/>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default" w:ascii="仿宋" w:hAnsi="仿宋" w:eastAsia="仿宋"/>
                <w:sz w:val="32"/>
                <w:szCs w:val="32"/>
                <w:lang w:val="en-US" w:eastAsia="zh-CN"/>
              </w:rPr>
            </w:pPr>
            <w:r>
              <w:rPr>
                <w:rFonts w:hint="eastAsia" w:ascii="仿宋" w:hAnsi="仿宋" w:eastAsia="仿宋"/>
                <w:sz w:val="32"/>
                <w:szCs w:val="32"/>
                <w:lang w:val="en-US" w:eastAsia="zh-CN"/>
              </w:rPr>
              <w:t>6</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王胜乾</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不动产登记中心负责人</w:t>
            </w:r>
          </w:p>
        </w:tc>
        <w:tc>
          <w:tcPr>
            <w:tcW w:w="1135" w:type="dxa"/>
          </w:tcPr>
          <w:p>
            <w:pPr>
              <w:spacing w:line="560" w:lineRule="exact"/>
              <w:jc w:val="both"/>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default" w:ascii="仿宋" w:hAnsi="仿宋" w:eastAsia="仿宋"/>
                <w:sz w:val="32"/>
                <w:szCs w:val="32"/>
                <w:lang w:val="en-US" w:eastAsia="zh-CN"/>
              </w:rPr>
            </w:pPr>
            <w:r>
              <w:rPr>
                <w:rFonts w:hint="eastAsia" w:ascii="仿宋" w:hAnsi="仿宋" w:eastAsia="仿宋"/>
                <w:sz w:val="32"/>
                <w:szCs w:val="32"/>
                <w:lang w:val="en-US" w:eastAsia="zh-CN"/>
              </w:rPr>
              <w:t>7</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侯立波</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森林保护股股长</w:t>
            </w:r>
          </w:p>
        </w:tc>
        <w:tc>
          <w:tcPr>
            <w:tcW w:w="1135" w:type="dxa"/>
          </w:tcPr>
          <w:p>
            <w:pPr>
              <w:spacing w:line="560" w:lineRule="exact"/>
              <w:jc w:val="both"/>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default" w:ascii="仿宋" w:hAnsi="仿宋" w:eastAsia="仿宋"/>
                <w:sz w:val="32"/>
                <w:szCs w:val="32"/>
                <w:lang w:val="en-US" w:eastAsia="zh-CN"/>
              </w:rPr>
            </w:pPr>
            <w:r>
              <w:rPr>
                <w:rFonts w:hint="eastAsia" w:ascii="仿宋" w:hAnsi="仿宋" w:eastAsia="仿宋"/>
                <w:sz w:val="32"/>
                <w:szCs w:val="32"/>
                <w:lang w:val="en-US" w:eastAsia="zh-CN"/>
              </w:rPr>
              <w:t>8</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赵彦杰</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国土空间规划股股长</w:t>
            </w:r>
          </w:p>
        </w:tc>
        <w:tc>
          <w:tcPr>
            <w:tcW w:w="1135" w:type="dxa"/>
          </w:tcPr>
          <w:p>
            <w:pPr>
              <w:spacing w:line="560" w:lineRule="exact"/>
              <w:jc w:val="both"/>
              <w:rPr>
                <w:rFonts w:hint="eastAsia" w:ascii="仿宋" w:hAnsi="仿宋" w:eastAsia="仿宋"/>
                <w:sz w:val="32"/>
                <w:szCs w:val="32"/>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96" w:type="dxa"/>
            <w:vAlign w:val="center"/>
          </w:tcPr>
          <w:p>
            <w:pPr>
              <w:spacing w:line="560" w:lineRule="exact"/>
              <w:jc w:val="center"/>
              <w:rPr>
                <w:rFonts w:hint="default" w:ascii="仿宋" w:hAnsi="仿宋" w:eastAsia="仿宋"/>
                <w:sz w:val="32"/>
                <w:szCs w:val="32"/>
                <w:lang w:val="en-US" w:eastAsia="zh-CN"/>
              </w:rPr>
            </w:pPr>
            <w:r>
              <w:rPr>
                <w:rFonts w:hint="eastAsia" w:ascii="仿宋" w:hAnsi="仿宋" w:eastAsia="仿宋"/>
                <w:sz w:val="32"/>
                <w:szCs w:val="32"/>
                <w:lang w:val="en-US" w:eastAsia="zh-CN"/>
              </w:rPr>
              <w:t>9</w:t>
            </w:r>
          </w:p>
        </w:tc>
        <w:tc>
          <w:tcPr>
            <w:tcW w:w="1365"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王立波</w:t>
            </w:r>
          </w:p>
        </w:tc>
        <w:tc>
          <w:tcPr>
            <w:tcW w:w="3994" w:type="dxa"/>
            <w:vAlign w:val="center"/>
          </w:tcPr>
          <w:p>
            <w:pPr>
              <w:spacing w:line="560" w:lineRule="exact"/>
              <w:jc w:val="center"/>
              <w:rPr>
                <w:rFonts w:hint="eastAsia" w:ascii="仿宋" w:hAnsi="仿宋" w:eastAsia="仿宋"/>
                <w:sz w:val="32"/>
                <w:szCs w:val="32"/>
              </w:rPr>
            </w:pPr>
            <w:r>
              <w:rPr>
                <w:rFonts w:hint="eastAsia" w:ascii="仿宋" w:hAnsi="仿宋" w:eastAsia="仿宋"/>
                <w:sz w:val="32"/>
                <w:szCs w:val="32"/>
              </w:rPr>
              <w:t>元氏县自然资源和规划局</w:t>
            </w:r>
          </w:p>
        </w:tc>
        <w:tc>
          <w:tcPr>
            <w:tcW w:w="216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rPr>
              <w:t>耕地规划保护</w:t>
            </w:r>
            <w:r>
              <w:rPr>
                <w:rFonts w:hint="eastAsia" w:ascii="仿宋" w:hAnsi="仿宋" w:eastAsia="仿宋"/>
                <w:sz w:val="32"/>
                <w:szCs w:val="32"/>
                <w:lang w:eastAsia="zh-CN"/>
              </w:rPr>
              <w:t>股股长</w:t>
            </w:r>
          </w:p>
        </w:tc>
        <w:tc>
          <w:tcPr>
            <w:tcW w:w="1135" w:type="dxa"/>
          </w:tcPr>
          <w:p>
            <w:pPr>
              <w:spacing w:line="560" w:lineRule="exact"/>
              <w:jc w:val="both"/>
              <w:rPr>
                <w:rFonts w:hint="eastAsia" w:ascii="仿宋" w:hAnsi="仿宋" w:eastAsia="仿宋"/>
                <w:sz w:val="32"/>
                <w:szCs w:val="32"/>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215E59"/>
    <w:multiLevelType w:val="singleLevel"/>
    <w:tmpl w:val="FB215E5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015068"/>
    <w:rsid w:val="01B104CA"/>
    <w:rsid w:val="02106AB0"/>
    <w:rsid w:val="02B43A28"/>
    <w:rsid w:val="046F331E"/>
    <w:rsid w:val="07956271"/>
    <w:rsid w:val="08A2174C"/>
    <w:rsid w:val="09721397"/>
    <w:rsid w:val="0BB63BED"/>
    <w:rsid w:val="0EB97A43"/>
    <w:rsid w:val="0EBD2122"/>
    <w:rsid w:val="0F214EAE"/>
    <w:rsid w:val="11B71E6A"/>
    <w:rsid w:val="1AAF0063"/>
    <w:rsid w:val="1BE140DE"/>
    <w:rsid w:val="1C6D0978"/>
    <w:rsid w:val="248C197D"/>
    <w:rsid w:val="252959AF"/>
    <w:rsid w:val="277A6671"/>
    <w:rsid w:val="292D35B7"/>
    <w:rsid w:val="2E36630F"/>
    <w:rsid w:val="33EB6CFF"/>
    <w:rsid w:val="35A12947"/>
    <w:rsid w:val="37387040"/>
    <w:rsid w:val="378A3816"/>
    <w:rsid w:val="3B625C0A"/>
    <w:rsid w:val="3CEE1963"/>
    <w:rsid w:val="436B78D3"/>
    <w:rsid w:val="44B83DE4"/>
    <w:rsid w:val="4B145AC3"/>
    <w:rsid w:val="4C9C27FE"/>
    <w:rsid w:val="512260B4"/>
    <w:rsid w:val="52BD6ACB"/>
    <w:rsid w:val="53C71634"/>
    <w:rsid w:val="55537534"/>
    <w:rsid w:val="561A74F1"/>
    <w:rsid w:val="597244E8"/>
    <w:rsid w:val="5EB71C30"/>
    <w:rsid w:val="63973F1F"/>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98</Words>
  <Characters>565</Characters>
  <Lines>4</Lines>
  <Paragraphs>1</Paragraphs>
  <TotalTime>17</TotalTime>
  <ScaleCrop>false</ScaleCrop>
  <LinksUpToDate>false</LinksUpToDate>
  <CharactersWithSpaces>662</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2026-04-20T01:16:32Z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96934721B1514D3FBAA28020338CE855_12</vt:lpwstr>
  </property>
</Properties>
</file>