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9EAD7BF">
      <w:pPr>
        <w:adjustRightInd w:val="0"/>
        <w:snapToGrid w:val="0"/>
        <w:spacing w:line="560" w:lineRule="exact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附件3</w:t>
      </w:r>
    </w:p>
    <w:p w14:paraId="7666088E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</w:p>
    <w:p w14:paraId="3DE0D69E">
      <w:pPr>
        <w:spacing w:line="560" w:lineRule="exact"/>
        <w:jc w:val="center"/>
        <w:rPr>
          <w:rFonts w:hint="eastAsia" w:ascii="宋体" w:hAnsi="宋体" w:cs="宋体"/>
          <w:b/>
          <w:bCs/>
          <w:sz w:val="44"/>
          <w:szCs w:val="44"/>
          <w:lang w:val="en-US" w:eastAsia="zh-CN"/>
        </w:rPr>
      </w:pP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元氏县供销合作社</w:t>
      </w:r>
    </w:p>
    <w:p w14:paraId="35E85CA1">
      <w:pPr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hint="eastAsia" w:ascii="宋体" w:hAnsi="宋体" w:cs="宋体"/>
          <w:b/>
          <w:bCs/>
          <w:sz w:val="44"/>
          <w:szCs w:val="44"/>
        </w:rPr>
        <w:t>202</w:t>
      </w:r>
      <w:r>
        <w:rPr>
          <w:rFonts w:hint="eastAsia" w:ascii="宋体" w:hAnsi="宋体" w:cs="宋体"/>
          <w:b/>
          <w:bCs/>
          <w:sz w:val="44"/>
          <w:szCs w:val="44"/>
          <w:lang w:val="en-US" w:eastAsia="zh-CN"/>
        </w:rPr>
        <w:t>5</w:t>
      </w:r>
      <w:r>
        <w:rPr>
          <w:rFonts w:hint="eastAsia" w:ascii="宋体" w:hAnsi="宋体" w:cs="宋体"/>
          <w:b/>
          <w:bCs/>
          <w:sz w:val="44"/>
          <w:szCs w:val="44"/>
        </w:rPr>
        <w:t>年度整体支出绩效自评报告</w:t>
      </w:r>
    </w:p>
    <w:p w14:paraId="4B94F108">
      <w:pPr>
        <w:spacing w:line="560" w:lineRule="exact"/>
        <w:jc w:val="center"/>
        <w:rPr>
          <w:rFonts w:ascii="华文楷体" w:eastAsia="华文楷体"/>
          <w:sz w:val="32"/>
          <w:szCs w:val="32"/>
        </w:rPr>
      </w:pPr>
    </w:p>
    <w:p w14:paraId="25E35E1D">
      <w:pPr>
        <w:adjustRightInd w:val="0"/>
        <w:snapToGrid w:val="0"/>
        <w:spacing w:line="560" w:lineRule="exact"/>
        <w:ind w:firstLine="640" w:firstLineChars="200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贯彻落实县委县政府《关于全面落实预算绩效管理的实施意见》（元发﹝2019﹞7号）文件精神，遵循“科学性、规范性、客观性和公正性”的原则，对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元氏县供销合作社</w:t>
      </w: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年整体支出情况实施了财政支出绩效自评价，形成本评价报告。</w:t>
      </w:r>
    </w:p>
    <w:p w14:paraId="3FA2E1A5">
      <w:pPr>
        <w:adjustRightInd w:val="0"/>
        <w:snapToGrid w:val="0"/>
        <w:spacing w:line="560" w:lineRule="exact"/>
        <w:rPr>
          <w:rFonts w:ascii="黑体" w:hAnsi="黑体" w:eastAsia="黑体"/>
          <w:b/>
          <w:bCs/>
          <w:sz w:val="32"/>
          <w:szCs w:val="36"/>
        </w:rPr>
      </w:pPr>
      <w:r>
        <w:rPr>
          <w:rFonts w:hint="eastAsia" w:ascii="黑体" w:hAnsi="黑体" w:eastAsia="黑体"/>
          <w:sz w:val="32"/>
          <w:szCs w:val="32"/>
        </w:rPr>
        <w:t xml:space="preserve">     一、部门</w:t>
      </w:r>
      <w:r>
        <w:rPr>
          <w:rFonts w:hint="eastAsia" w:ascii="黑体" w:hAnsi="黑体" w:eastAsia="黑体"/>
          <w:sz w:val="32"/>
          <w:szCs w:val="36"/>
        </w:rPr>
        <w:t>基本情况</w:t>
      </w:r>
    </w:p>
    <w:p w14:paraId="543A2563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（一）部门概况</w:t>
      </w:r>
    </w:p>
    <w:p w14:paraId="2FFE8E39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单位职责：</w:t>
      </w:r>
      <w:r>
        <w:rPr>
          <w:rFonts w:hint="eastAsia" w:ascii="仿宋" w:hAnsi="仿宋" w:eastAsia="仿宋"/>
          <w:sz w:val="32"/>
          <w:szCs w:val="32"/>
        </w:rPr>
        <w:t>县供销社是政府领导下的一个涉农的经济部门。其主要职责：一是完成县委、县政府委托的各项政治、经济和社会任务，搞好部门协调工作，加强系统内行业管理和业务指导工作，搭建为农公共服务平台。二是整合资源，抓好基层社、专业合作社、农村综合服务社等合作经济组织建设与管理。三是整合县域网络，抓好农资流通、日用消费品、农副产品、再生资源回收利用网络的建设和管理。四是培育龙头，推进农业产业化经营工作。</w:t>
      </w:r>
    </w:p>
    <w:p w14:paraId="74B1B17A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单位机构设置情况</w:t>
      </w:r>
    </w:p>
    <w:tbl>
      <w:tblPr>
        <w:tblStyle w:val="4"/>
        <w:tblW w:w="8652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48"/>
        <w:gridCol w:w="1371"/>
        <w:gridCol w:w="1371"/>
        <w:gridCol w:w="2762"/>
      </w:tblGrid>
      <w:tr w14:paraId="4903E926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tblHeader/>
          <w:jc w:val="center"/>
        </w:trPr>
        <w:tc>
          <w:tcPr>
            <w:tcW w:w="3148" w:type="dxa"/>
            <w:noWrap w:val="0"/>
            <w:vAlign w:val="center"/>
          </w:tcPr>
          <w:p w14:paraId="77A0EE80"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单位名称</w:t>
            </w:r>
          </w:p>
        </w:tc>
        <w:tc>
          <w:tcPr>
            <w:tcW w:w="1371" w:type="dxa"/>
            <w:noWrap w:val="0"/>
            <w:vAlign w:val="center"/>
          </w:tcPr>
          <w:p w14:paraId="203CFCC6">
            <w:pPr>
              <w:adjustRightInd w:val="0"/>
              <w:snapToGrid w:val="0"/>
              <w:spacing w:line="560" w:lineRule="exact"/>
              <w:jc w:val="both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单位性质</w:t>
            </w:r>
          </w:p>
        </w:tc>
        <w:tc>
          <w:tcPr>
            <w:tcW w:w="1371" w:type="dxa"/>
            <w:noWrap w:val="0"/>
            <w:vAlign w:val="center"/>
          </w:tcPr>
          <w:p w14:paraId="6588FAA6">
            <w:pPr>
              <w:adjustRightInd w:val="0"/>
              <w:snapToGrid w:val="0"/>
              <w:spacing w:line="560" w:lineRule="exact"/>
              <w:jc w:val="both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单位规格</w:t>
            </w:r>
          </w:p>
        </w:tc>
        <w:tc>
          <w:tcPr>
            <w:tcW w:w="2762" w:type="dxa"/>
            <w:noWrap w:val="0"/>
            <w:vAlign w:val="center"/>
          </w:tcPr>
          <w:p w14:paraId="69B1DE41"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经费保障形式</w:t>
            </w:r>
          </w:p>
        </w:tc>
      </w:tr>
      <w:tr w14:paraId="35BAD6A2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148" w:type="dxa"/>
            <w:noWrap w:val="0"/>
            <w:vAlign w:val="center"/>
          </w:tcPr>
          <w:p w14:paraId="77182B5F">
            <w:pPr>
              <w:adjustRightInd w:val="0"/>
              <w:snapToGrid w:val="0"/>
              <w:spacing w:line="560" w:lineRule="exact"/>
              <w:jc w:val="both"/>
              <w:rPr>
                <w:rFonts w:hint="eastAsia"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元氏县供销合作社本级</w:t>
            </w:r>
          </w:p>
        </w:tc>
        <w:tc>
          <w:tcPr>
            <w:tcW w:w="1371" w:type="dxa"/>
            <w:noWrap w:val="0"/>
            <w:vAlign w:val="center"/>
          </w:tcPr>
          <w:p w14:paraId="49DE7A48"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事业</w:t>
            </w:r>
          </w:p>
        </w:tc>
        <w:tc>
          <w:tcPr>
            <w:tcW w:w="1371" w:type="dxa"/>
            <w:noWrap w:val="0"/>
            <w:vAlign w:val="center"/>
          </w:tcPr>
          <w:p w14:paraId="272A7DEE">
            <w:pPr>
              <w:adjustRightInd w:val="0"/>
              <w:snapToGrid w:val="0"/>
              <w:spacing w:line="560" w:lineRule="exact"/>
              <w:jc w:val="center"/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正科级</w:t>
            </w:r>
          </w:p>
        </w:tc>
        <w:tc>
          <w:tcPr>
            <w:tcW w:w="2762" w:type="dxa"/>
            <w:noWrap w:val="0"/>
            <w:vAlign w:val="center"/>
          </w:tcPr>
          <w:p w14:paraId="682F91D1">
            <w:pPr>
              <w:adjustRightInd w:val="0"/>
              <w:snapToGrid w:val="0"/>
              <w:spacing w:line="560" w:lineRule="exact"/>
              <w:jc w:val="both"/>
              <w:rPr>
                <w:rFonts w:hint="default" w:ascii="仿宋" w:hAnsi="仿宋" w:eastAsia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/>
                <w:sz w:val="28"/>
                <w:szCs w:val="28"/>
                <w:lang w:val="en-US" w:eastAsia="zh-CN"/>
              </w:rPr>
              <w:t>财政性资金基本保证</w:t>
            </w:r>
          </w:p>
        </w:tc>
      </w:tr>
    </w:tbl>
    <w:p w14:paraId="2DCF0606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</w:p>
    <w:p w14:paraId="07F4661B">
      <w:pPr>
        <w:spacing w:before="0" w:after="0" w:line="240" w:lineRule="auto"/>
        <w:ind w:firstLine="640" w:firstLineChars="200"/>
        <w:jc w:val="both"/>
        <w:outlineLvl w:val="9"/>
        <w:rPr>
          <w:rFonts w:hint="eastAsia" w:eastAsia="仿宋"/>
          <w:lang w:val="en-US" w:eastAsia="zh-CN"/>
        </w:rPr>
      </w:pPr>
      <w:r>
        <w:rPr>
          <w:rFonts w:hint="eastAsia" w:ascii="仿宋" w:hAnsi="仿宋" w:eastAsia="仿宋"/>
          <w:sz w:val="32"/>
          <w:szCs w:val="32"/>
        </w:rPr>
        <w:t>单位固定资产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情况</w:t>
      </w:r>
    </w:p>
    <w:tbl>
      <w:tblPr>
        <w:tblStyle w:val="4"/>
        <w:tblW w:w="8263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03"/>
        <w:gridCol w:w="1947"/>
        <w:gridCol w:w="2213"/>
      </w:tblGrid>
      <w:tr w14:paraId="301E80AA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1" w:hRule="atLeast"/>
          <w:tblHeader/>
          <w:jc w:val="center"/>
        </w:trPr>
        <w:tc>
          <w:tcPr>
            <w:tcW w:w="4103" w:type="dxa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A1BD844">
            <w:pPr>
              <w:pStyle w:val="6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975001元氏县供销合作社本级</w:t>
            </w:r>
          </w:p>
        </w:tc>
        <w:tc>
          <w:tcPr>
            <w:tcW w:w="4160" w:type="dxa"/>
            <w:gridSpan w:val="2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58D62993">
            <w:pPr>
              <w:pStyle w:val="7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截止时间：202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24"/>
                <w:szCs w:val="24"/>
              </w:rPr>
              <w:t>-12-31</w:t>
            </w:r>
          </w:p>
        </w:tc>
      </w:tr>
      <w:tr w14:paraId="5B1599B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8" w:hRule="atLeast"/>
          <w:tblHeader/>
          <w:jc w:val="center"/>
        </w:trPr>
        <w:tc>
          <w:tcPr>
            <w:tcW w:w="4103" w:type="dxa"/>
            <w:noWrap w:val="0"/>
            <w:vAlign w:val="center"/>
          </w:tcPr>
          <w:p w14:paraId="7B7272E5">
            <w:pPr>
              <w:pStyle w:val="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   目</w:t>
            </w:r>
          </w:p>
        </w:tc>
        <w:tc>
          <w:tcPr>
            <w:tcW w:w="1947" w:type="dxa"/>
            <w:noWrap w:val="0"/>
            <w:vAlign w:val="center"/>
          </w:tcPr>
          <w:p w14:paraId="3ECCC341">
            <w:pPr>
              <w:pStyle w:val="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数量</w:t>
            </w:r>
          </w:p>
        </w:tc>
        <w:tc>
          <w:tcPr>
            <w:tcW w:w="2213" w:type="dxa"/>
            <w:noWrap w:val="0"/>
            <w:vAlign w:val="center"/>
          </w:tcPr>
          <w:p w14:paraId="4A0A0D33">
            <w:pPr>
              <w:pStyle w:val="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价值</w:t>
            </w:r>
          </w:p>
          <w:p w14:paraId="75549541">
            <w:pPr>
              <w:pStyle w:val="8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（单位：万元）</w:t>
            </w:r>
          </w:p>
        </w:tc>
      </w:tr>
      <w:tr w14:paraId="1805939D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  <w:jc w:val="center"/>
        </w:trPr>
        <w:tc>
          <w:tcPr>
            <w:tcW w:w="4103" w:type="dxa"/>
            <w:noWrap w:val="0"/>
            <w:vAlign w:val="center"/>
          </w:tcPr>
          <w:p w14:paraId="3800B86E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资产总额</w:t>
            </w:r>
          </w:p>
        </w:tc>
        <w:tc>
          <w:tcPr>
            <w:tcW w:w="1947" w:type="dxa"/>
            <w:noWrap w:val="0"/>
            <w:vAlign w:val="center"/>
          </w:tcPr>
          <w:p w14:paraId="4AD6924B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213" w:type="dxa"/>
            <w:noWrap w:val="0"/>
            <w:vAlign w:val="center"/>
          </w:tcPr>
          <w:p w14:paraId="46671133">
            <w:pPr>
              <w:pStyle w:val="11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42.038</w:t>
            </w:r>
          </w:p>
        </w:tc>
      </w:tr>
      <w:tr w14:paraId="0CA0F52E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4103" w:type="dxa"/>
            <w:noWrap w:val="0"/>
            <w:vAlign w:val="center"/>
          </w:tcPr>
          <w:p w14:paraId="5A0B9A67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1、房屋（平方米）</w:t>
            </w:r>
          </w:p>
        </w:tc>
        <w:tc>
          <w:tcPr>
            <w:tcW w:w="1947" w:type="dxa"/>
            <w:noWrap w:val="0"/>
            <w:vAlign w:val="center"/>
          </w:tcPr>
          <w:p w14:paraId="737D92CD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800</w:t>
            </w:r>
          </w:p>
        </w:tc>
        <w:tc>
          <w:tcPr>
            <w:tcW w:w="2213" w:type="dxa"/>
            <w:noWrap w:val="0"/>
            <w:vAlign w:val="center"/>
          </w:tcPr>
          <w:p w14:paraId="162F46C3">
            <w:pPr>
              <w:pStyle w:val="11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17.50</w:t>
            </w:r>
          </w:p>
        </w:tc>
      </w:tr>
      <w:tr w14:paraId="0DF06EF8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4103" w:type="dxa"/>
            <w:noWrap w:val="0"/>
            <w:vAlign w:val="center"/>
          </w:tcPr>
          <w:p w14:paraId="737C6C5F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　　其中：办公用房（平方米）</w:t>
            </w:r>
          </w:p>
        </w:tc>
        <w:tc>
          <w:tcPr>
            <w:tcW w:w="1947" w:type="dxa"/>
            <w:noWrap w:val="0"/>
            <w:vAlign w:val="center"/>
          </w:tcPr>
          <w:p w14:paraId="17B2784D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800</w:t>
            </w:r>
          </w:p>
        </w:tc>
        <w:tc>
          <w:tcPr>
            <w:tcW w:w="2213" w:type="dxa"/>
            <w:noWrap w:val="0"/>
            <w:vAlign w:val="center"/>
          </w:tcPr>
          <w:p w14:paraId="6ECD93F0">
            <w:pPr>
              <w:pStyle w:val="11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17.50</w:t>
            </w:r>
          </w:p>
        </w:tc>
      </w:tr>
      <w:tr w14:paraId="4D18F710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2" w:hRule="atLeast"/>
          <w:jc w:val="center"/>
        </w:trPr>
        <w:tc>
          <w:tcPr>
            <w:tcW w:w="4103" w:type="dxa"/>
            <w:noWrap w:val="0"/>
            <w:vAlign w:val="center"/>
          </w:tcPr>
          <w:p w14:paraId="442ECD5E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2、车辆（台、辆）</w:t>
            </w:r>
          </w:p>
        </w:tc>
        <w:tc>
          <w:tcPr>
            <w:tcW w:w="1947" w:type="dxa"/>
            <w:noWrap w:val="0"/>
            <w:vAlign w:val="center"/>
          </w:tcPr>
          <w:p w14:paraId="6E3EE9C2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2</w:t>
            </w:r>
          </w:p>
        </w:tc>
        <w:tc>
          <w:tcPr>
            <w:tcW w:w="2213" w:type="dxa"/>
            <w:noWrap w:val="0"/>
            <w:vAlign w:val="center"/>
          </w:tcPr>
          <w:p w14:paraId="5E1EB97C">
            <w:pPr>
              <w:pStyle w:val="11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16.00</w:t>
            </w:r>
          </w:p>
        </w:tc>
      </w:tr>
      <w:tr w14:paraId="4C81F837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5" w:hRule="atLeast"/>
          <w:jc w:val="center"/>
        </w:trPr>
        <w:tc>
          <w:tcPr>
            <w:tcW w:w="4103" w:type="dxa"/>
            <w:noWrap w:val="0"/>
            <w:vAlign w:val="center"/>
          </w:tcPr>
          <w:p w14:paraId="33C67E3B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3、单价在20万元以上的设备</w:t>
            </w:r>
          </w:p>
        </w:tc>
        <w:tc>
          <w:tcPr>
            <w:tcW w:w="1947" w:type="dxa"/>
            <w:noWrap w:val="0"/>
            <w:vAlign w:val="center"/>
          </w:tcPr>
          <w:p w14:paraId="73CF664B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2213" w:type="dxa"/>
            <w:noWrap w:val="0"/>
            <w:vAlign w:val="center"/>
          </w:tcPr>
          <w:p w14:paraId="7E5D4DE8">
            <w:pPr>
              <w:pStyle w:val="11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</w:tr>
      <w:tr w14:paraId="3A05E295"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2" w:hRule="atLeast"/>
          <w:jc w:val="center"/>
        </w:trPr>
        <w:tc>
          <w:tcPr>
            <w:tcW w:w="4103" w:type="dxa"/>
            <w:noWrap w:val="0"/>
            <w:vAlign w:val="center"/>
          </w:tcPr>
          <w:p w14:paraId="68CA9D93">
            <w:pPr>
              <w:pStyle w:val="9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4、其他固定资产</w:t>
            </w:r>
          </w:p>
        </w:tc>
        <w:tc>
          <w:tcPr>
            <w:tcW w:w="1947" w:type="dxa"/>
            <w:noWrap w:val="0"/>
            <w:vAlign w:val="center"/>
          </w:tcPr>
          <w:p w14:paraId="0EF85B51">
            <w:pPr>
              <w:pStyle w:val="10"/>
              <w:rPr>
                <w:rFonts w:hint="eastAsia" w:ascii="仿宋" w:hAnsi="仿宋" w:eastAsia="仿宋" w:cs="仿宋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1</w:t>
            </w: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</w:t>
            </w:r>
          </w:p>
        </w:tc>
        <w:tc>
          <w:tcPr>
            <w:tcW w:w="2213" w:type="dxa"/>
            <w:noWrap w:val="0"/>
            <w:vAlign w:val="center"/>
          </w:tcPr>
          <w:p w14:paraId="03BD9ACB">
            <w:pPr>
              <w:pStyle w:val="11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8.538</w:t>
            </w:r>
          </w:p>
        </w:tc>
      </w:tr>
    </w:tbl>
    <w:p w14:paraId="38F4F0AC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  <w:lang w:val="en-US" w:eastAsia="zh-CN"/>
        </w:rPr>
      </w:pPr>
    </w:p>
    <w:p w14:paraId="7DE82656">
      <w:pPr>
        <w:adjustRightInd w:val="0"/>
        <w:snapToGrid w:val="0"/>
        <w:spacing w:line="560" w:lineRule="exact"/>
        <w:ind w:firstLine="640" w:firstLineChars="200"/>
        <w:rPr>
          <w:rFonts w:hint="default" w:ascii="仿宋" w:hAnsi="仿宋" w:eastAsia="仿宋"/>
          <w:sz w:val="32"/>
          <w:szCs w:val="32"/>
          <w:lang w:val="en-US" w:eastAsia="zh-CN"/>
        </w:rPr>
      </w:pPr>
      <w:r>
        <w:rPr>
          <w:rFonts w:hint="eastAsia" w:ascii="仿宋" w:hAnsi="仿宋" w:eastAsia="仿宋"/>
          <w:sz w:val="32"/>
          <w:szCs w:val="32"/>
          <w:lang w:val="en-US" w:eastAsia="zh-CN"/>
        </w:rPr>
        <w:t>单位人员情况</w:t>
      </w:r>
    </w:p>
    <w:p w14:paraId="793C4F21">
      <w:pPr>
        <w:adjustRightInd w:val="0"/>
        <w:snapToGrid w:val="0"/>
        <w:spacing w:line="560" w:lineRule="exact"/>
        <w:ind w:firstLine="640" w:firstLineChars="200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12月底</w:t>
      </w:r>
      <w:r>
        <w:rPr>
          <w:rFonts w:hint="eastAsia" w:ascii="仿宋" w:hAnsi="仿宋" w:eastAsia="仿宋"/>
          <w:sz w:val="32"/>
          <w:szCs w:val="32"/>
        </w:rPr>
        <w:t>实有人数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34</w:t>
      </w:r>
      <w:r>
        <w:rPr>
          <w:rFonts w:hint="eastAsia" w:ascii="仿宋" w:hAnsi="仿宋" w:eastAsia="仿宋"/>
          <w:sz w:val="32"/>
          <w:szCs w:val="32"/>
        </w:rPr>
        <w:t>人，在职人员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/>
          <w:sz w:val="32"/>
          <w:szCs w:val="32"/>
        </w:rPr>
        <w:t>人，退休2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/>
          <w:sz w:val="32"/>
          <w:szCs w:val="32"/>
        </w:rPr>
        <w:t>人。</w:t>
      </w:r>
    </w:p>
    <w:p w14:paraId="3E717412">
      <w:pPr>
        <w:numPr>
          <w:ilvl w:val="0"/>
          <w:numId w:val="1"/>
        </w:numPr>
        <w:adjustRightInd w:val="0"/>
        <w:snapToGrid w:val="0"/>
        <w:spacing w:line="560" w:lineRule="exact"/>
        <w:ind w:firstLine="640" w:firstLineChars="200"/>
        <w:rPr>
          <w:rFonts w:hint="eastAsia"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部门收支预决算情况</w:t>
      </w:r>
      <w:bookmarkStart w:id="0" w:name="_GoBack"/>
      <w:bookmarkEnd w:id="0"/>
    </w:p>
    <w:p w14:paraId="7F123BFF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tbl>
      <w:tblPr>
        <w:tblStyle w:val="4"/>
        <w:tblpPr w:leftFromText="180" w:rightFromText="180" w:vertAnchor="text" w:horzAnchor="page" w:tblpX="1945" w:tblpY="37"/>
        <w:tblOverlap w:val="never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86"/>
        <w:gridCol w:w="1230"/>
        <w:gridCol w:w="1180"/>
        <w:gridCol w:w="1475"/>
        <w:gridCol w:w="2914"/>
      </w:tblGrid>
      <w:tr w14:paraId="5FA7D5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286" w:type="dxa"/>
            <w:noWrap w:val="0"/>
            <w:vAlign w:val="center"/>
          </w:tcPr>
          <w:p w14:paraId="7DB9C2D6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支出分类</w:t>
            </w:r>
          </w:p>
        </w:tc>
        <w:tc>
          <w:tcPr>
            <w:tcW w:w="1230" w:type="dxa"/>
            <w:noWrap w:val="0"/>
            <w:vAlign w:val="center"/>
          </w:tcPr>
          <w:p w14:paraId="0CBBA819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年初预算</w:t>
            </w:r>
          </w:p>
        </w:tc>
        <w:tc>
          <w:tcPr>
            <w:tcW w:w="1180" w:type="dxa"/>
            <w:noWrap w:val="0"/>
            <w:vAlign w:val="center"/>
          </w:tcPr>
          <w:p w14:paraId="7231EC4D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收入</w:t>
            </w:r>
          </w:p>
        </w:tc>
        <w:tc>
          <w:tcPr>
            <w:tcW w:w="1475" w:type="dxa"/>
            <w:noWrap w:val="0"/>
            <w:vAlign w:val="center"/>
          </w:tcPr>
          <w:p w14:paraId="4ACC6260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支出决算</w:t>
            </w:r>
          </w:p>
        </w:tc>
        <w:tc>
          <w:tcPr>
            <w:tcW w:w="2914" w:type="dxa"/>
            <w:noWrap w:val="0"/>
            <w:vAlign w:val="center"/>
          </w:tcPr>
          <w:p w14:paraId="146CD8F8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增减原因</w:t>
            </w:r>
          </w:p>
        </w:tc>
      </w:tr>
      <w:tr w14:paraId="6A3F09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1286" w:type="dxa"/>
            <w:noWrap w:val="0"/>
            <w:vAlign w:val="center"/>
          </w:tcPr>
          <w:p w14:paraId="53AD7EEA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基本支出</w:t>
            </w:r>
          </w:p>
        </w:tc>
        <w:tc>
          <w:tcPr>
            <w:tcW w:w="1230" w:type="dxa"/>
            <w:noWrap w:val="0"/>
            <w:vAlign w:val="center"/>
          </w:tcPr>
          <w:p w14:paraId="0BC09295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203.33</w:t>
            </w:r>
          </w:p>
        </w:tc>
        <w:tc>
          <w:tcPr>
            <w:tcW w:w="1180" w:type="dxa"/>
            <w:noWrap w:val="0"/>
            <w:vAlign w:val="center"/>
          </w:tcPr>
          <w:p w14:paraId="495F255B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210.82</w:t>
            </w:r>
          </w:p>
        </w:tc>
        <w:tc>
          <w:tcPr>
            <w:tcW w:w="1475" w:type="dxa"/>
            <w:noWrap w:val="0"/>
            <w:vAlign w:val="center"/>
          </w:tcPr>
          <w:p w14:paraId="1DEC01A2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210.82</w:t>
            </w:r>
          </w:p>
        </w:tc>
        <w:tc>
          <w:tcPr>
            <w:tcW w:w="2914" w:type="dxa"/>
            <w:noWrap w:val="0"/>
            <w:vAlign w:val="center"/>
          </w:tcPr>
          <w:p w14:paraId="55D2A060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人员增加，人员经费上升</w:t>
            </w:r>
          </w:p>
        </w:tc>
      </w:tr>
      <w:tr w14:paraId="722445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</w:trPr>
        <w:tc>
          <w:tcPr>
            <w:tcW w:w="1286" w:type="dxa"/>
            <w:noWrap w:val="0"/>
            <w:vAlign w:val="center"/>
          </w:tcPr>
          <w:p w14:paraId="6D33BD2A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项目支出</w:t>
            </w:r>
          </w:p>
        </w:tc>
        <w:tc>
          <w:tcPr>
            <w:tcW w:w="1230" w:type="dxa"/>
            <w:noWrap w:val="0"/>
            <w:vAlign w:val="center"/>
          </w:tcPr>
          <w:p w14:paraId="46A0CFFB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35.45</w:t>
            </w:r>
          </w:p>
        </w:tc>
        <w:tc>
          <w:tcPr>
            <w:tcW w:w="1180" w:type="dxa"/>
            <w:noWrap w:val="0"/>
            <w:vAlign w:val="center"/>
          </w:tcPr>
          <w:p w14:paraId="19D04AEB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32.05</w:t>
            </w:r>
          </w:p>
        </w:tc>
        <w:tc>
          <w:tcPr>
            <w:tcW w:w="1475" w:type="dxa"/>
            <w:noWrap w:val="0"/>
            <w:vAlign w:val="center"/>
          </w:tcPr>
          <w:p w14:paraId="7727839C">
            <w:pPr>
              <w:snapToGrid w:val="0"/>
              <w:spacing w:line="52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32.05</w:t>
            </w:r>
          </w:p>
        </w:tc>
        <w:tc>
          <w:tcPr>
            <w:tcW w:w="2914" w:type="dxa"/>
            <w:noWrap w:val="0"/>
            <w:vAlign w:val="center"/>
          </w:tcPr>
          <w:p w14:paraId="6BEEB09B">
            <w:pPr>
              <w:snapToGrid w:val="0"/>
              <w:spacing w:line="520" w:lineRule="exact"/>
              <w:jc w:val="center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项目不同，项目经费减少</w:t>
            </w:r>
          </w:p>
        </w:tc>
      </w:tr>
    </w:tbl>
    <w:p w14:paraId="30D94B8F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楷体" w:hAnsi="楷体" w:eastAsia="楷体" w:cs="楷体_GB2312"/>
          <w:bCs/>
          <w:sz w:val="32"/>
          <w:szCs w:val="32"/>
        </w:rPr>
      </w:pPr>
    </w:p>
    <w:p w14:paraId="06B929CD">
      <w:pPr>
        <w:adjustRightInd w:val="0"/>
        <w:snapToGrid w:val="0"/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（三）部门整体支出绩效目标、指标</w:t>
      </w:r>
    </w:p>
    <w:p w14:paraId="30FB805E">
      <w:pPr>
        <w:pStyle w:val="12"/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坚持稳中求进工作总基调，推动系统经济健康稳步发展，按照"为农"、"务农"、"姓农"总要求，聚焦为农服务主业，创新经营业态，通过调整社有企业产业结构，拓宽基层组织服务范围，围绕实施乡村振兴战略，搭建为农服务综合平台，增强农民群众的参与度和获得感，大力开展农业社会化服务，以土地托管为主要服务内容，开展土地流转、大田托管、代耕代种等全程社会化服务和农村社区综合服务，实施农业社会化服务惠农工程，面向新型职业农民，开展技能教育培训，推进农村产权交易市场体系建设，建设农村电商服务体系和农村社区综合服务中心体系，对现有电商应用主体进行巩固提升，完善基层组织服务网络，创建提升示范农村综合服务社，推进再生资源回收利用体系建设，贯彻落实中央、省、市、县有关供销社改革发展的措施并积极组织实施，保障机关工作正常开展。</w:t>
      </w:r>
    </w:p>
    <w:p w14:paraId="11D7C84A">
      <w:pPr>
        <w:pStyle w:val="12"/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2025年主要经济指标保持8%的增速，</w:t>
      </w:r>
      <w:r>
        <w:rPr>
          <w:rFonts w:hint="eastAsia" w:ascii="仿宋_GB2312" w:hAnsi="仿宋" w:eastAsia="仿宋_GB2312"/>
          <w:sz w:val="32"/>
          <w:szCs w:val="32"/>
        </w:rPr>
        <w:t>已完成年初本单位整体支出绩效指标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0620E127">
      <w:pPr>
        <w:adjustRightInd w:val="0"/>
        <w:snapToGrid w:val="0"/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二、自评工作开展情况</w:t>
      </w:r>
    </w:p>
    <w:p w14:paraId="2447B38C">
      <w:pPr>
        <w:spacing w:line="560" w:lineRule="exact"/>
        <w:ind w:firstLine="640" w:firstLineChars="200"/>
        <w:rPr>
          <w:rFonts w:ascii="楷体" w:hAnsi="楷体" w:eastAsia="楷体" w:cs="楷体_GB2312"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（一）自评的组织工作</w:t>
      </w:r>
    </w:p>
    <w:p w14:paraId="020F2360">
      <w:pPr>
        <w:spacing w:line="560" w:lineRule="exact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     </w:t>
      </w:r>
      <w:r>
        <w:rPr>
          <w:rFonts w:hint="eastAsia" w:ascii="仿宋_GB2312" w:hAnsi="仿宋_GB2312" w:eastAsia="仿宋_GB2312" w:cs="仿宋_GB2312"/>
          <w:sz w:val="32"/>
          <w:szCs w:val="22"/>
        </w:rPr>
        <w:t>我部门高度重视本次绩效自评工作，成立了由办公室财务负责人、财会人员及科室人员代表参加的绩效评价工作组，按照绩效评价规范要求，绩效评价工作组在搜集准备了有关资料，对所有资料进行核实、验证。对被评价项目的相关信息进行收集、整理、分析，以评价该项目在项目决策、项目管理上是否依法依规，在项目绩效方面是否高效可持续。</w:t>
      </w:r>
    </w:p>
    <w:p w14:paraId="773F8B7E">
      <w:pPr>
        <w:spacing w:line="560" w:lineRule="exact"/>
        <w:rPr>
          <w:rFonts w:ascii="仿宋" w:hAnsi="仿宋" w:eastAsia="仿宋"/>
          <w:sz w:val="32"/>
          <w:szCs w:val="32"/>
        </w:rPr>
      </w:pPr>
    </w:p>
    <w:p w14:paraId="4046F2FF">
      <w:pPr>
        <w:numPr>
          <w:ilvl w:val="0"/>
          <w:numId w:val="2"/>
        </w:numPr>
        <w:spacing w:line="560" w:lineRule="exact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自评的方法和过程</w:t>
      </w:r>
    </w:p>
    <w:p w14:paraId="56AE786B">
      <w:pPr>
        <w:numPr>
          <w:ilvl w:val="0"/>
          <w:numId w:val="0"/>
        </w:numPr>
        <w:spacing w:line="560" w:lineRule="exact"/>
        <w:ind w:firstLine="640" w:firstLineChars="200"/>
        <w:rPr>
          <w:rFonts w:ascii="仿宋" w:hAnsi="仿宋" w:eastAsia="仿宋" w:cs="楷体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2"/>
        </w:rPr>
        <w:t>自评方法采用打分法，实施过程主要包括证据收集、整理与分析，形成评价结论、经验教训和建议。</w:t>
      </w:r>
    </w:p>
    <w:p w14:paraId="392E08F9">
      <w:pPr>
        <w:numPr>
          <w:ilvl w:val="0"/>
          <w:numId w:val="0"/>
        </w:numPr>
        <w:spacing w:line="560" w:lineRule="exact"/>
        <w:ind w:left="642" w:leftChars="0"/>
        <w:rPr>
          <w:rFonts w:ascii="楷体" w:hAnsi="楷体" w:eastAsia="楷体" w:cs="楷体_GB2312"/>
          <w:bCs/>
          <w:sz w:val="32"/>
          <w:szCs w:val="32"/>
        </w:rPr>
      </w:pPr>
    </w:p>
    <w:p w14:paraId="34959E1E">
      <w:pPr>
        <w:spacing w:line="560" w:lineRule="exact"/>
        <w:rPr>
          <w:rFonts w:ascii="黑体" w:hAnsi="黑体" w:eastAsia="黑体"/>
          <w:b/>
          <w:bCs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 xml:space="preserve">    三、部门整体支出绩效目标实现情况及指标分析</w:t>
      </w:r>
    </w:p>
    <w:p w14:paraId="43DD312F">
      <w:pPr>
        <w:numPr>
          <w:ilvl w:val="0"/>
          <w:numId w:val="3"/>
        </w:numPr>
        <w:spacing w:line="560" w:lineRule="exact"/>
        <w:ind w:firstLine="640" w:firstLineChars="200"/>
        <w:rPr>
          <w:rFonts w:ascii="楷体" w:hAnsi="楷体" w:eastAsia="楷体" w:cs="楷体_GB2312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总体绩效目标实现情况</w:t>
      </w:r>
    </w:p>
    <w:p w14:paraId="72CADE46">
      <w:pPr>
        <w:pStyle w:val="12"/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坚持稳中求进工作总基调，推动系统经济健康稳步发展，按照"为农"、"务农"、"姓农"总要求，聚焦为农服务主业，创新经营业态，通过调整社有企业产业结构，拓宽基层组织服务范围，围绕实施乡村振兴战略，搭建为农服务综合平台，增强农民群众的参与度和获得感，大力开展农业社会化服务，以土地托管为主要服务内容，开展土地流转、大田托管、代耕代种等全程社会化服务和农村社区综合服务，实施农业社会化服务惠农工程，面向新型职业农民，开展技能教育培训，推进农村产权交易市场体系建设，建设农村电商服务体系和农村社区综合服务中心体系，对现有电商应用主体进行巩固提升，完善基层组织服务网络，创建提升示范农村综合服务社，推进再生资源回收利用体系建设，贯彻落实中央、省、市、县有关供销社改革发展的措施并积极组织实施，保障机关工作正常开展。</w:t>
      </w:r>
    </w:p>
    <w:p w14:paraId="64B851EC">
      <w:pPr>
        <w:pStyle w:val="12"/>
        <w:rPr>
          <w:rFonts w:ascii="仿宋" w:hAnsi="仿宋" w:eastAsia="仿宋"/>
          <w:sz w:val="32"/>
          <w:szCs w:val="32"/>
        </w:rPr>
      </w:pP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2025年主要经济指标保持8%的增速，</w:t>
      </w:r>
      <w:r>
        <w:rPr>
          <w:rFonts w:hint="eastAsia" w:ascii="仿宋_GB2312" w:hAnsi="仿宋" w:eastAsia="仿宋_GB2312"/>
          <w:sz w:val="32"/>
          <w:szCs w:val="32"/>
        </w:rPr>
        <w:t>已完成年初本单位整体支出绩效指标</w:t>
      </w:r>
      <w:r>
        <w:rPr>
          <w:rFonts w:hint="eastAsia" w:ascii="仿宋_GB2312" w:hAnsi="仿宋" w:eastAsia="仿宋_GB2312" w:cs="Times New Roman"/>
          <w:kern w:val="2"/>
          <w:sz w:val="32"/>
          <w:szCs w:val="32"/>
          <w:lang w:val="en-US" w:eastAsia="zh-CN" w:bidi="ar-SA"/>
        </w:rPr>
        <w:t>。</w:t>
      </w:r>
    </w:p>
    <w:p w14:paraId="5C2232DB">
      <w:pPr>
        <w:spacing w:line="560" w:lineRule="exact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 w:cs="楷体_GB2312"/>
          <w:bCs/>
          <w:sz w:val="32"/>
          <w:szCs w:val="32"/>
        </w:rPr>
        <w:t>（二）分项绩效目标实现情况及指标分析</w:t>
      </w:r>
    </w:p>
    <w:p w14:paraId="63857045">
      <w:pPr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2025年年初预算项目分项绩效目标实际完成情况：</w:t>
      </w:r>
    </w:p>
    <w:p w14:paraId="2BBCFBC8">
      <w:pPr>
        <w:snapToGrid w:val="0"/>
        <w:spacing w:line="520" w:lineRule="exact"/>
        <w:ind w:firstLine="640" w:firstLineChars="20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（1）退役士兵安置经费项目</w:t>
      </w:r>
    </w:p>
    <w:p w14:paraId="116C2860">
      <w:pPr>
        <w:numPr>
          <w:ilvl w:val="0"/>
          <w:numId w:val="0"/>
        </w:numPr>
        <w:snapToGrid w:val="0"/>
        <w:spacing w:line="520" w:lineRule="exact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项目立项目标：</w:t>
      </w:r>
    </w:p>
    <w:p w14:paraId="161ED0F7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①及时准确为退役军人发放2025年人员经费</w:t>
      </w:r>
      <w:r>
        <w:rPr>
          <w:rFonts w:hint="eastAsia" w:ascii="仿宋_GB2312" w:hAnsi="仿宋" w:eastAsia="仿宋_GB2312"/>
          <w:sz w:val="32"/>
          <w:szCs w:val="32"/>
        </w:rPr>
        <w:t xml:space="preserve">。  </w:t>
      </w:r>
    </w:p>
    <w:p w14:paraId="13F30F0E">
      <w:pPr>
        <w:numPr>
          <w:ilvl w:val="0"/>
          <w:numId w:val="0"/>
        </w:numPr>
        <w:snapToGrid w:val="0"/>
        <w:spacing w:line="520" w:lineRule="exac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②保障退役军人日常工作有序稳定开展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033C244C"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该项目绩效目标完成情况：</w:t>
      </w:r>
    </w:p>
    <w:p w14:paraId="076DFA97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5年度本单位已及时准确的将退役军人经费全部发放完毕。</w:t>
      </w:r>
    </w:p>
    <w:p w14:paraId="6AB778E7">
      <w:pPr>
        <w:numPr>
          <w:ilvl w:val="0"/>
          <w:numId w:val="0"/>
        </w:numPr>
        <w:snapToGrid w:val="0"/>
        <w:spacing w:line="520" w:lineRule="exac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②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年度本单位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正常保障了退役军人各项工作的正常开展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2649F4B8">
      <w:pPr>
        <w:snapToGrid w:val="0"/>
        <w:spacing w:line="520" w:lineRule="exact"/>
        <w:ind w:firstLine="640" w:firstLineChars="20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农产权交易中心经费</w:t>
      </w:r>
    </w:p>
    <w:p w14:paraId="4B9EC0B3">
      <w:pPr>
        <w:numPr>
          <w:ilvl w:val="0"/>
          <w:numId w:val="0"/>
        </w:numPr>
        <w:snapToGrid w:val="0"/>
        <w:spacing w:line="520" w:lineRule="exact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项目立项目标：</w:t>
      </w:r>
    </w:p>
    <w:p w14:paraId="01D49332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①保障农产权交易中心正常运行</w:t>
      </w:r>
      <w:r>
        <w:rPr>
          <w:rFonts w:hint="eastAsia" w:ascii="仿宋_GB2312" w:hAnsi="仿宋" w:eastAsia="仿宋_GB2312"/>
          <w:sz w:val="32"/>
          <w:szCs w:val="32"/>
        </w:rPr>
        <w:t xml:space="preserve">。  </w:t>
      </w:r>
    </w:p>
    <w:p w14:paraId="6F8C1F8F">
      <w:pPr>
        <w:numPr>
          <w:ilvl w:val="0"/>
          <w:numId w:val="0"/>
        </w:numPr>
        <w:snapToGrid w:val="0"/>
        <w:spacing w:line="520" w:lineRule="exac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②保障农产权交易中心5名工作人员工资足额发放，保障职工满意度≥95%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44E8D97D"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该项目绩效目标完成情况：</w:t>
      </w:r>
    </w:p>
    <w:p w14:paraId="7DDBB42E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5年度农产权交易中心正常运转。</w:t>
      </w:r>
    </w:p>
    <w:p w14:paraId="6169DE69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②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" w:eastAsia="仿宋_GB2312"/>
          <w:sz w:val="32"/>
          <w:szCs w:val="32"/>
        </w:rPr>
        <w:t>年度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及时为农产权交易中心5名工作人员发放足额工资，职工满意度为100%。</w:t>
      </w:r>
    </w:p>
    <w:p w14:paraId="098A2A17">
      <w:pPr>
        <w:numPr>
          <w:ilvl w:val="0"/>
          <w:numId w:val="4"/>
        </w:numPr>
        <w:snapToGrid w:val="0"/>
        <w:spacing w:line="520" w:lineRule="exact"/>
        <w:ind w:firstLine="640" w:firstLineChars="200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2025年自收自支人员企业养老保险经费</w:t>
      </w:r>
    </w:p>
    <w:p w14:paraId="33C1C481">
      <w:pPr>
        <w:numPr>
          <w:ilvl w:val="0"/>
          <w:numId w:val="0"/>
        </w:numPr>
        <w:snapToGrid w:val="0"/>
        <w:spacing w:line="520" w:lineRule="exact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项目立项目标：</w:t>
      </w:r>
    </w:p>
    <w:p w14:paraId="37AED546">
      <w:pPr>
        <w:numPr>
          <w:ilvl w:val="0"/>
          <w:numId w:val="0"/>
        </w:numPr>
        <w:snapToGrid w:val="0"/>
        <w:spacing w:line="520" w:lineRule="exact"/>
        <w:rPr>
          <w:rFonts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①及时为自收自支人员缴纳养老保险，保障职工满意度</w:t>
      </w:r>
      <w:r>
        <w:rPr>
          <w:rFonts w:hint="eastAsia" w:ascii="仿宋_GB2312" w:hAnsi="仿宋" w:eastAsia="仿宋_GB2312"/>
          <w:sz w:val="32"/>
          <w:szCs w:val="32"/>
        </w:rPr>
        <w:t>。</w:t>
      </w:r>
    </w:p>
    <w:p w14:paraId="380481CE">
      <w:p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该项目绩效目标完成情况：</w:t>
      </w:r>
    </w:p>
    <w:p w14:paraId="4589F4A6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</w:t>
      </w:r>
      <w:r>
        <w:rPr>
          <w:rFonts w:hint="eastAsia" w:ascii="仿宋_GB2312" w:hAnsi="仿宋" w:eastAsia="仿宋_GB2312"/>
          <w:sz w:val="32"/>
          <w:szCs w:val="32"/>
        </w:rPr>
        <w:t>202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5年度及时为自收自支人员缴纳养老保险，职工满意度为100%。</w:t>
      </w:r>
    </w:p>
    <w:p w14:paraId="067E0731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该项目绩效目标完成情况：</w:t>
      </w:r>
    </w:p>
    <w:p w14:paraId="17E55D6C">
      <w:pPr>
        <w:numPr>
          <w:ilvl w:val="0"/>
          <w:numId w:val="0"/>
        </w:numPr>
        <w:snapToGrid w:val="0"/>
        <w:spacing w:line="520" w:lineRule="exact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及时为自收自支人员缴纳了养老保险，职工满意度提高。</w:t>
      </w:r>
    </w:p>
    <w:p w14:paraId="1500AC3D">
      <w:pPr>
        <w:numPr>
          <w:ilvl w:val="0"/>
          <w:numId w:val="4"/>
        </w:numPr>
        <w:snapToGrid w:val="0"/>
        <w:spacing w:line="520" w:lineRule="exact"/>
        <w:ind w:left="0" w:leftChars="0" w:firstLine="640" w:firstLineChars="200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 xml:space="preserve">新农村现代流通服务网络工程项目经费 </w:t>
      </w:r>
    </w:p>
    <w:p w14:paraId="36C3F9EB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项目立项目标：</w:t>
      </w:r>
    </w:p>
    <w:p w14:paraId="3C2D4DBA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①及时为元氏县新合作供销有限公司进行现代流通服务网络建设</w:t>
      </w:r>
    </w:p>
    <w:p w14:paraId="06D69C9E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该项目绩效目标完成情况：</w:t>
      </w:r>
    </w:p>
    <w:p w14:paraId="36F0B868">
      <w:pPr>
        <w:numPr>
          <w:ilvl w:val="0"/>
          <w:numId w:val="0"/>
        </w:numPr>
        <w:snapToGrid w:val="0"/>
        <w:spacing w:line="520" w:lineRule="exact"/>
        <w:rPr>
          <w:rFonts w:hint="eastAsia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及时为元氏县新合作供销有限公司进行现代流通服务网络建设</w:t>
      </w:r>
    </w:p>
    <w:p w14:paraId="743154A4">
      <w:pPr>
        <w:numPr>
          <w:ilvl w:val="0"/>
          <w:numId w:val="0"/>
        </w:numPr>
        <w:snapToGrid w:val="0"/>
        <w:spacing w:line="520" w:lineRule="exact"/>
        <w:rPr>
          <w:rFonts w:hint="default" w:ascii="仿宋_GB2312" w:hAnsi="仿宋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发放补贴</w:t>
      </w:r>
    </w:p>
    <w:p w14:paraId="031280B5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四、评价结论和评价等级</w:t>
      </w:r>
    </w:p>
    <w:p w14:paraId="3CC48775">
      <w:pPr>
        <w:numPr>
          <w:ilvl w:val="0"/>
          <w:numId w:val="0"/>
        </w:numPr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根据项目执行情况和项目绩效情况，202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年元氏县供销合作社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退役士兵安置经费</w:t>
      </w:r>
      <w:r>
        <w:rPr>
          <w:rFonts w:hint="eastAsia" w:ascii="仿宋_GB2312" w:eastAsia="仿宋_GB2312"/>
          <w:sz w:val="32"/>
          <w:szCs w:val="32"/>
        </w:rPr>
        <w:t>项目评分为100分，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农产权交易中心经费项目</w:t>
      </w:r>
      <w:r>
        <w:rPr>
          <w:rFonts w:hint="eastAsia" w:ascii="仿宋_GB2312" w:eastAsia="仿宋_GB2312"/>
          <w:sz w:val="32"/>
          <w:szCs w:val="32"/>
        </w:rPr>
        <w:t>评分为100分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hAnsi="仿宋" w:eastAsia="仿宋_GB2312"/>
          <w:sz w:val="32"/>
          <w:szCs w:val="32"/>
          <w:lang w:val="en-US" w:eastAsia="zh-CN"/>
        </w:rPr>
        <w:t>2025年自收自支人员企业养老项目评分为100分，新农村现代流通服务网络工程项目经费评分100分，</w:t>
      </w:r>
      <w:r>
        <w:rPr>
          <w:rFonts w:hint="eastAsia" w:ascii="仿宋_GB2312" w:eastAsia="仿宋_GB2312"/>
          <w:sz w:val="32"/>
          <w:szCs w:val="32"/>
        </w:rPr>
        <w:t>项目预期服务对象对项目实施的满意程度高，并且该项目具有良好的可持续影响性，产生了重大的积极社会影响，评价等级为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优秀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 w14:paraId="35B7E51A">
      <w:pPr>
        <w:spacing w:line="560" w:lineRule="exact"/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 w14:paraId="753AB5E8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</w:rPr>
        <w:t>（一）存在的主要问题</w:t>
      </w:r>
    </w:p>
    <w:p w14:paraId="4FED985D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绩效目标设置不够细化量化，部分指标可衡量性、可操作性有待进一步提升。</w:t>
      </w:r>
    </w:p>
    <w:p w14:paraId="1516A457">
      <w:pPr>
        <w:numPr>
          <w:ilvl w:val="0"/>
          <w:numId w:val="0"/>
        </w:numPr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项目实施与预算执行节奏不够均衡，受审批流程、外部条件等影响，进度衔接不够紧密。</w:t>
      </w:r>
    </w:p>
    <w:p w14:paraId="5BD75EF3">
      <w:pPr>
        <w:numPr>
          <w:ilvl w:val="0"/>
          <w:numId w:val="0"/>
        </w:numPr>
        <w:snapToGrid w:val="0"/>
        <w:spacing w:line="52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绩效管理全过程管控不够到位，资料归集不够及时规范，自评质量和深度仍需加强。</w:t>
      </w:r>
    </w:p>
    <w:p w14:paraId="69F9F72F">
      <w:p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楷体" w:hAnsi="楷体" w:eastAsia="楷体"/>
          <w:bCs/>
          <w:sz w:val="32"/>
          <w:szCs w:val="32"/>
          <w:lang w:eastAsia="zh-CN"/>
        </w:rPr>
        <w:t>（</w:t>
      </w:r>
      <w:r>
        <w:rPr>
          <w:rFonts w:hint="eastAsia" w:ascii="楷体" w:hAnsi="楷体" w:eastAsia="楷体"/>
          <w:bCs/>
          <w:sz w:val="32"/>
          <w:szCs w:val="32"/>
          <w:lang w:val="en-US" w:eastAsia="zh-CN"/>
        </w:rPr>
        <w:t>二</w:t>
      </w:r>
      <w:r>
        <w:rPr>
          <w:rFonts w:hint="eastAsia" w:ascii="楷体" w:hAnsi="楷体" w:eastAsia="楷体"/>
          <w:bCs/>
          <w:sz w:val="32"/>
          <w:szCs w:val="32"/>
          <w:lang w:eastAsia="zh-CN"/>
        </w:rPr>
        <w:t>）</w:t>
      </w:r>
      <w:r>
        <w:rPr>
          <w:rFonts w:hint="eastAsia" w:ascii="楷体" w:hAnsi="楷体" w:eastAsia="楷体"/>
          <w:bCs/>
          <w:sz w:val="32"/>
          <w:szCs w:val="32"/>
        </w:rPr>
        <w:t>针对问题提出具体的改进措施或建议</w:t>
      </w:r>
    </w:p>
    <w:p w14:paraId="584A7653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科学细化绩效目标，进一步量化、细化各项指标，增强指标的可衡量性与可操作性，确保绩效目标更贴合工作实际。</w:t>
      </w:r>
    </w:p>
    <w:p w14:paraId="71AD0289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加强项目与预算执行全过程管控，合理统筹实施进度，强化节点管控，规范资金使用与审批流程，提升执行效率。</w:t>
      </w:r>
    </w:p>
    <w:p w14:paraId="4F90CA50">
      <w:pPr>
        <w:numPr>
          <w:ilvl w:val="0"/>
          <w:numId w:val="0"/>
        </w:numPr>
        <w:spacing w:line="560" w:lineRule="exact"/>
        <w:ind w:firstLine="640" w:firstLineChars="200"/>
        <w:rPr>
          <w:rFonts w:hint="eastAsia" w:ascii="楷体" w:hAnsi="楷体" w:eastAsia="楷体"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完善绩效资料归集机制，做到及时整理、规范归档，强化绩效自评分析深度，切实提高自评工作质量。</w:t>
      </w:r>
    </w:p>
    <w:p w14:paraId="03779AE7">
      <w:pPr>
        <w:numPr>
          <w:ilvl w:val="0"/>
          <w:numId w:val="5"/>
        </w:numPr>
        <w:adjustRightInd w:val="0"/>
        <w:snapToGrid w:val="0"/>
        <w:spacing w:line="560" w:lineRule="exact"/>
        <w:ind w:firstLine="640" w:firstLineChars="200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评价工作组人员名单及签字（姓名、工作单位、职务、职称）</w:t>
      </w:r>
    </w:p>
    <w:p w14:paraId="22A8D85F"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元氏县供销合作社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书记 张立民</w:t>
      </w:r>
    </w:p>
    <w:p w14:paraId="6364DB20"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元氏县供销合作社财审科长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许建军</w:t>
      </w:r>
    </w:p>
    <w:p w14:paraId="2C93D5D0">
      <w:pPr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</w:rPr>
        <w:t>元氏县供销合作社科员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杨翠茹</w:t>
      </w:r>
    </w:p>
    <w:p w14:paraId="1949DE39">
      <w:pPr>
        <w:numPr>
          <w:ilvl w:val="0"/>
          <w:numId w:val="0"/>
        </w:numPr>
        <w:adjustRightInd w:val="0"/>
        <w:snapToGrid w:val="0"/>
        <w:spacing w:line="560" w:lineRule="exact"/>
        <w:rPr>
          <w:rFonts w:hint="eastAsia" w:ascii="黑体" w:hAnsi="黑体" w:eastAsia="黑体"/>
          <w:sz w:val="32"/>
          <w:szCs w:val="32"/>
        </w:rPr>
      </w:pPr>
    </w:p>
    <w:p w14:paraId="4BF5A075">
      <w:pPr>
        <w:ind w:firstLine="640" w:firstLineChars="200"/>
        <w:jc w:val="right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元氏县供销合作社</w:t>
      </w:r>
    </w:p>
    <w:p w14:paraId="0503F218">
      <w:pPr>
        <w:ind w:firstLine="640" w:firstLineChars="200"/>
        <w:jc w:val="right"/>
        <w:rPr>
          <w:rFonts w:hint="default" w:ascii="黑体" w:hAnsi="黑体" w:eastAsia="黑体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2026年4月17日</w:t>
      </w:r>
    </w:p>
    <w:p w14:paraId="2BAAFD19">
      <w:pPr>
        <w:spacing w:line="560" w:lineRule="exact"/>
        <w:rPr>
          <w:rFonts w:ascii="仿宋" w:hAnsi="仿宋" w:eastAsia="仿宋"/>
        </w:rPr>
      </w:pPr>
    </w:p>
    <w:sectPr>
      <w:footerReference r:id="rId3" w:type="default"/>
      <w:pgSz w:w="11906" w:h="16838"/>
      <w:pgMar w:top="1440" w:right="1474" w:bottom="1440" w:left="1587" w:header="851" w:footer="992" w:gutter="0"/>
      <w:pgNumType w:fmt="numberInDash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KSOF4C539D17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8080F95D">
    <w:panose1 w:val="020B0503020204020204"/>
    <w:charset w:val="86"/>
    <w:family w:val="auto"/>
    <w:pitch w:val="default"/>
    <w:sig w:usb0="00000001" w:usb1="00000000" w:usb2="00000000" w:usb3="00000000" w:csb0="00040001" w:csb1="00000000"/>
  </w:font>
  <w:font w:name="KSOF4E0875B6">
    <w:panose1 w:val="020B07030202040202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54B6D6"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F02D1E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- 2 -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66F02D1E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- 2 -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C98D593"/>
    <w:multiLevelType w:val="singleLevel"/>
    <w:tmpl w:val="BC98D593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DC374450"/>
    <w:multiLevelType w:val="singleLevel"/>
    <w:tmpl w:val="DC374450"/>
    <w:lvl w:ilvl="0" w:tentative="0">
      <w:start w:val="3"/>
      <w:numFmt w:val="decimal"/>
      <w:suff w:val="nothing"/>
      <w:lvlText w:val="（%1）"/>
      <w:lvlJc w:val="left"/>
    </w:lvl>
  </w:abstractNum>
  <w:abstractNum w:abstractNumId="2">
    <w:nsid w:val="0516AA81"/>
    <w:multiLevelType w:val="singleLevel"/>
    <w:tmpl w:val="0516AA81"/>
    <w:lvl w:ilvl="0" w:tentative="0">
      <w:start w:val="2"/>
      <w:numFmt w:val="chineseCounting"/>
      <w:suff w:val="nothing"/>
      <w:lvlText w:val="（%1）"/>
      <w:lvlJc w:val="left"/>
      <w:pPr>
        <w:ind w:left="642" w:firstLine="0"/>
      </w:pPr>
      <w:rPr>
        <w:rFonts w:hint="eastAsia"/>
      </w:rPr>
    </w:lvl>
  </w:abstractNum>
  <w:abstractNum w:abstractNumId="3">
    <w:nsid w:val="1F8C5AA9"/>
    <w:multiLevelType w:val="singleLevel"/>
    <w:tmpl w:val="1F8C5AA9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abstractNum w:abstractNumId="4">
    <w:nsid w:val="5E68489B"/>
    <w:multiLevelType w:val="singleLevel"/>
    <w:tmpl w:val="5E68489B"/>
    <w:lvl w:ilvl="0" w:tentative="0">
      <w:start w:val="1"/>
      <w:numFmt w:val="chineseCounting"/>
      <w:suff w:val="nothing"/>
      <w:lvlText w:val="（%1）"/>
      <w:lvlJc w:val="left"/>
      <w:rPr>
        <w:rFonts w:ascii="楷体" w:hAnsi="楷体" w:eastAsia="楷体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NotTrackMoves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ExNjZmN2MyMzJkNzkyZTU1ZGI4Yzg4NTZlYWM2MTgifQ=="/>
  </w:docVars>
  <w:rsids>
    <w:rsidRoot w:val="0EBD2122"/>
    <w:rsid w:val="000B0260"/>
    <w:rsid w:val="00146E0E"/>
    <w:rsid w:val="002A2EDF"/>
    <w:rsid w:val="002E21B7"/>
    <w:rsid w:val="00665343"/>
    <w:rsid w:val="007E6C1F"/>
    <w:rsid w:val="00956A93"/>
    <w:rsid w:val="009E575C"/>
    <w:rsid w:val="009E6C7C"/>
    <w:rsid w:val="00AF167E"/>
    <w:rsid w:val="00AF566A"/>
    <w:rsid w:val="00B478EA"/>
    <w:rsid w:val="00B6553A"/>
    <w:rsid w:val="00BC6576"/>
    <w:rsid w:val="00C26563"/>
    <w:rsid w:val="00CE06BA"/>
    <w:rsid w:val="00F441CC"/>
    <w:rsid w:val="01B104CA"/>
    <w:rsid w:val="02106AB0"/>
    <w:rsid w:val="02B43A28"/>
    <w:rsid w:val="046F331E"/>
    <w:rsid w:val="05373674"/>
    <w:rsid w:val="05A120A5"/>
    <w:rsid w:val="07956271"/>
    <w:rsid w:val="09721397"/>
    <w:rsid w:val="0A193C90"/>
    <w:rsid w:val="0BB63BED"/>
    <w:rsid w:val="0BC87812"/>
    <w:rsid w:val="0D183D8B"/>
    <w:rsid w:val="0D4A6F93"/>
    <w:rsid w:val="0EB97A43"/>
    <w:rsid w:val="0EBD2122"/>
    <w:rsid w:val="0F214EAE"/>
    <w:rsid w:val="11B71E6A"/>
    <w:rsid w:val="1AAF0063"/>
    <w:rsid w:val="1B721452"/>
    <w:rsid w:val="1BE140DE"/>
    <w:rsid w:val="248C197D"/>
    <w:rsid w:val="252959AF"/>
    <w:rsid w:val="277A6671"/>
    <w:rsid w:val="292D35B7"/>
    <w:rsid w:val="2D2A2D2B"/>
    <w:rsid w:val="33EB6CFF"/>
    <w:rsid w:val="35A12947"/>
    <w:rsid w:val="37387040"/>
    <w:rsid w:val="37C36E66"/>
    <w:rsid w:val="3B625C0A"/>
    <w:rsid w:val="3C5D2268"/>
    <w:rsid w:val="3CEE1963"/>
    <w:rsid w:val="40EB39AC"/>
    <w:rsid w:val="436B78D3"/>
    <w:rsid w:val="484C6A03"/>
    <w:rsid w:val="4B362D61"/>
    <w:rsid w:val="4C9C27FE"/>
    <w:rsid w:val="4E6B39D2"/>
    <w:rsid w:val="512260B4"/>
    <w:rsid w:val="52BD6ACB"/>
    <w:rsid w:val="55537534"/>
    <w:rsid w:val="561A74F1"/>
    <w:rsid w:val="597244E8"/>
    <w:rsid w:val="5EB71C30"/>
    <w:rsid w:val="66AF0CE5"/>
    <w:rsid w:val="6AC537CF"/>
    <w:rsid w:val="6E5B14A6"/>
    <w:rsid w:val="711B255E"/>
    <w:rsid w:val="72E651DB"/>
    <w:rsid w:val="79062F80"/>
    <w:rsid w:val="7BB51E06"/>
    <w:rsid w:val="7C387F7C"/>
    <w:rsid w:val="7FE83423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paragraph" w:customStyle="1" w:styleId="6">
    <w:name w:val="单元格样式20"/>
    <w:basedOn w:val="1"/>
    <w:qFormat/>
    <w:uiPriority w:val="0"/>
    <w:pPr>
      <w:spacing w:before="0" w:after="0"/>
      <w:ind w:firstLine="0"/>
      <w:jc w:val="lef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7">
    <w:name w:val="单元格样式22"/>
    <w:basedOn w:val="1"/>
    <w:autoRedefine/>
    <w:qFormat/>
    <w:uiPriority w:val="0"/>
    <w:pPr>
      <w:spacing w:before="0" w:after="0"/>
      <w:ind w:firstLine="0"/>
      <w:jc w:val="right"/>
      <w:outlineLvl w:val="9"/>
    </w:pPr>
    <w:rPr>
      <w:rFonts w:ascii="方正小标宋_GBK" w:hAnsi="方正小标宋_GBK" w:eastAsia="方正小标宋_GBK" w:cs="方正小标宋_GBK"/>
      <w:sz w:val="24"/>
    </w:rPr>
  </w:style>
  <w:style w:type="paragraph" w:customStyle="1" w:styleId="8">
    <w:name w:val="单元格样式1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b/>
      <w:sz w:val="21"/>
    </w:rPr>
  </w:style>
  <w:style w:type="paragraph" w:customStyle="1" w:styleId="9">
    <w:name w:val="单元格样式2"/>
    <w:basedOn w:val="1"/>
    <w:autoRedefine/>
    <w:qFormat/>
    <w:uiPriority w:val="0"/>
    <w:pPr>
      <w:spacing w:before="0" w:after="0"/>
      <w:ind w:firstLine="0"/>
      <w:jc w:val="lef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0">
    <w:name w:val="单元格样式3"/>
    <w:basedOn w:val="1"/>
    <w:qFormat/>
    <w:uiPriority w:val="0"/>
    <w:pPr>
      <w:spacing w:before="0" w:after="0"/>
      <w:ind w:firstLine="0"/>
      <w:jc w:val="center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1">
    <w:name w:val="单元格样式4"/>
    <w:basedOn w:val="1"/>
    <w:autoRedefine/>
    <w:qFormat/>
    <w:uiPriority w:val="0"/>
    <w:pPr>
      <w:spacing w:before="0" w:after="0"/>
      <w:ind w:firstLine="0"/>
      <w:jc w:val="right"/>
      <w:outlineLvl w:val="9"/>
    </w:pPr>
    <w:rPr>
      <w:rFonts w:ascii="方正书宋_GBK" w:hAnsi="方正书宋_GBK" w:eastAsia="方正书宋_GBK" w:cs="方正书宋_GBK"/>
      <w:sz w:val="21"/>
    </w:rPr>
  </w:style>
  <w:style w:type="paragraph" w:customStyle="1" w:styleId="12">
    <w:name w:val="插入文本样式-插入总体目标文件"/>
    <w:basedOn w:val="1"/>
    <w:autoRedefine/>
    <w:qFormat/>
    <w:uiPriority w:val="0"/>
    <w:pPr>
      <w:spacing w:before="0" w:after="0" w:line="500" w:lineRule="exact"/>
      <w:ind w:firstLine="560"/>
      <w:jc w:val="left"/>
      <w:outlineLvl w:val="9"/>
    </w:pPr>
    <w:rPr>
      <w:rFonts w:ascii="Times New Roman" w:hAnsi="Times New Roman" w:eastAsia="方正仿宋_GBK" w:cs="Times New Roman"/>
      <w:sz w:val="2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2683</Words>
  <Characters>2823</Characters>
  <Lines>4</Lines>
  <Paragraphs>1</Paragraphs>
  <TotalTime>42</TotalTime>
  <ScaleCrop>false</ScaleCrop>
  <LinksUpToDate>false</LinksUpToDate>
  <CharactersWithSpaces>2850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2020-02-04T03:46:00Z</dcterms:created>
  <dc:creator>欣欣大人</dc:creator>
  <cp:lastModifiedBy>杨翠茹</cp:lastModifiedBy>
  <cp:lastPrinted>2026-04-23T03:13:35Z</cp:lastPrinted>
  <dcterms:modified xsi:type="dcterms:W3CDTF">2026-04-23T03:14:03Z</dcterms:modified>
  <dc:title>附件3：</dc:title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C258843E84AB4D71A71858915D65CE71_13</vt:lpwstr>
  </property>
  <property fmtid="{D5CDD505-2E9C-101B-9397-08002B2CF9AE}" pid="4" name="KSOTemplateDocerSaveRecord">
    <vt:lpwstr>eyJoZGlkIjoiZDUxMDVlNjg1ZjU3NTM3MmQ5MWFlMzk0NGE2ZDFiMzEiLCJ1c2VySWQiOiI3MTM5NzY5NzEifQ==</vt:lpwstr>
  </property>
</Properties>
</file>