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C652A8">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黑体" w:hAnsi="黑体" w:eastAsia="黑体"/>
          <w:sz w:val="32"/>
          <w:szCs w:val="32"/>
        </w:rPr>
      </w:pPr>
      <w:r>
        <w:rPr>
          <w:rFonts w:hint="eastAsia" w:ascii="黑体" w:hAnsi="黑体" w:eastAsia="黑体"/>
          <w:sz w:val="32"/>
          <w:szCs w:val="32"/>
        </w:rPr>
        <w:t>附件3</w:t>
      </w:r>
    </w:p>
    <w:p w14:paraId="5FD85625">
      <w:pPr>
        <w:keepNext w:val="0"/>
        <w:keepLines w:val="0"/>
        <w:pageBreakBefore w:val="0"/>
        <w:widowControl w:val="0"/>
        <w:kinsoku/>
        <w:wordWrap/>
        <w:overflowPunct/>
        <w:topLinePunct w:val="0"/>
        <w:autoSpaceDE/>
        <w:autoSpaceDN/>
        <w:bidi w:val="0"/>
        <w:spacing w:line="560" w:lineRule="exact"/>
        <w:jc w:val="center"/>
        <w:textAlignment w:val="auto"/>
        <w:rPr>
          <w:rFonts w:ascii="宋体" w:hAnsi="宋体" w:cs="宋体"/>
          <w:b/>
          <w:bCs/>
          <w:sz w:val="44"/>
          <w:szCs w:val="44"/>
        </w:rPr>
      </w:pPr>
    </w:p>
    <w:p w14:paraId="6AE26B76">
      <w:pPr>
        <w:keepNext w:val="0"/>
        <w:keepLines w:val="0"/>
        <w:pageBreakBefore w:val="0"/>
        <w:widowControl w:val="0"/>
        <w:kinsoku/>
        <w:wordWrap/>
        <w:overflowPunct/>
        <w:topLinePunct w:val="0"/>
        <w:autoSpaceDE/>
        <w:autoSpaceDN/>
        <w:bidi w:val="0"/>
        <w:spacing w:line="560" w:lineRule="exact"/>
        <w:jc w:val="center"/>
        <w:textAlignment w:val="auto"/>
        <w:rPr>
          <w:rFonts w:hint="eastAsia" w:ascii="宋体" w:hAnsi="宋体" w:cs="宋体"/>
          <w:b/>
          <w:bCs/>
          <w:sz w:val="44"/>
          <w:szCs w:val="44"/>
        </w:rPr>
      </w:pPr>
      <w:r>
        <w:rPr>
          <w:rFonts w:hint="eastAsia" w:ascii="宋体" w:hAnsi="宋体" w:cs="宋体"/>
          <w:b/>
          <w:bCs/>
          <w:sz w:val="44"/>
          <w:szCs w:val="44"/>
        </w:rPr>
        <w:t>中国共产党元氏县委员会组织部</w:t>
      </w:r>
    </w:p>
    <w:p w14:paraId="158246F1">
      <w:pPr>
        <w:keepNext w:val="0"/>
        <w:keepLines w:val="0"/>
        <w:pageBreakBefore w:val="0"/>
        <w:widowControl w:val="0"/>
        <w:kinsoku/>
        <w:wordWrap/>
        <w:overflowPunct/>
        <w:topLinePunct w:val="0"/>
        <w:autoSpaceDE/>
        <w:autoSpaceDN/>
        <w:bidi w:val="0"/>
        <w:spacing w:line="560" w:lineRule="exact"/>
        <w:jc w:val="center"/>
        <w:textAlignment w:val="auto"/>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497413EF">
      <w:pPr>
        <w:keepNext w:val="0"/>
        <w:keepLines w:val="0"/>
        <w:pageBreakBefore w:val="0"/>
        <w:widowControl w:val="0"/>
        <w:kinsoku/>
        <w:wordWrap/>
        <w:overflowPunct/>
        <w:topLinePunct w:val="0"/>
        <w:autoSpaceDE/>
        <w:autoSpaceDN/>
        <w:bidi w:val="0"/>
        <w:spacing w:line="560" w:lineRule="exact"/>
        <w:jc w:val="center"/>
        <w:textAlignment w:val="auto"/>
        <w:rPr>
          <w:rFonts w:ascii="华文楷体" w:eastAsia="华文楷体"/>
          <w:sz w:val="32"/>
          <w:szCs w:val="32"/>
        </w:rPr>
      </w:pPr>
    </w:p>
    <w:p w14:paraId="10A1DA4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贯彻落实县委县政府《关于全面落实预算绩效管理的实施意见》（元发﹝2019﹞7号）文件精神，遵循“科学性、规范性、客观性和公正性”的原则，对</w:t>
      </w:r>
      <w:r>
        <w:rPr>
          <w:rFonts w:hint="eastAsia" w:ascii="仿宋_GB2312" w:hAnsi="仿宋_GB2312" w:eastAsia="仿宋_GB2312" w:cs="仿宋_GB2312"/>
          <w:sz w:val="32"/>
          <w:szCs w:val="32"/>
          <w:lang w:eastAsia="zh-CN"/>
        </w:rPr>
        <w:t>中国共产党元氏县委员会组织部</w:t>
      </w:r>
      <w:r>
        <w:rPr>
          <w:rFonts w:hint="eastAsia" w:ascii="仿宋_GB2312" w:hAnsi="仿宋_GB2312" w:eastAsia="仿宋_GB2312" w:cs="仿宋_GB2312"/>
          <w:sz w:val="32"/>
          <w:szCs w:val="32"/>
        </w:rPr>
        <w:t>2024年整体支出情况实施了财政支出绩效自评价，形成本评价报告。</w:t>
      </w:r>
    </w:p>
    <w:p w14:paraId="1A955A85">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154C8A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14:paraId="4E776E15">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 w:hAnsi="仿宋" w:eastAsia="仿宋" w:cs="楷体_GB2312"/>
          <w:b/>
          <w:bCs/>
          <w:sz w:val="32"/>
          <w:szCs w:val="32"/>
        </w:rPr>
      </w:pPr>
      <w:r>
        <w:rPr>
          <w:rFonts w:hint="eastAsia" w:ascii="仿宋" w:hAnsi="仿宋" w:eastAsia="仿宋" w:cs="楷体_GB2312"/>
          <w:b/>
          <w:bCs/>
          <w:sz w:val="32"/>
          <w:szCs w:val="32"/>
        </w:rPr>
        <w:t>部门职责：</w:t>
      </w:r>
    </w:p>
    <w:p w14:paraId="5A3B473D">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贯彻落实习近平新时代中国特色社会主义思想和新时代党的组织路线，执行中央、省、市、县关于组织人事工</w:t>
      </w:r>
      <w:r>
        <w:rPr>
          <w:rFonts w:hint="eastAsia" w:ascii="仿宋_GB2312" w:hAnsi="仿宋_GB2312" w:eastAsia="仿宋_GB2312" w:cs="仿宋_GB2312"/>
          <w:color w:val="000000"/>
          <w:kern w:val="0"/>
          <w:sz w:val="32"/>
          <w:szCs w:val="32"/>
          <w:lang w:eastAsia="zh-CN"/>
        </w:rPr>
        <w:t>中国共产党元氏县委员会组织部</w:t>
      </w:r>
      <w:r>
        <w:rPr>
          <w:rFonts w:hint="eastAsia" w:ascii="仿宋_GB2312" w:hAnsi="仿宋_GB2312" w:eastAsia="仿宋_GB2312" w:cs="仿宋_GB2312"/>
          <w:color w:val="000000"/>
          <w:kern w:val="0"/>
          <w:sz w:val="32"/>
          <w:szCs w:val="32"/>
        </w:rPr>
        <w:t>作的方针、政策和法律规定。</w:t>
      </w:r>
    </w:p>
    <w:p w14:paraId="46C81108">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负责全县组织人事制度改革的规划、部署、组织实施和宏观管理。</w:t>
      </w:r>
    </w:p>
    <w:p w14:paraId="2E8521F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rPr>
        <w:t>负责全县干部队伍建设的宏观管理，制订或参与制订干部队伍管理的重要政策、规定、制度，并对典型经验进行总结推介。组织研究制订适应现代企业制度要求的国有企业领导班子和企业经营管理者队伍建设的政策及有关规定，提出加强宏观指导的意见和建议。</w:t>
      </w:r>
    </w:p>
    <w:p w14:paraId="4B9D652E">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负责对县委管理的领导班子进行考察了解，并向县委提出调整配备的意见和建议；负责县委管理干部的考察、任免、工资、待遇、出国（境）、离退休审批手续的办理；指导机构编制部门拟定副科级以上单位领导班子职数；协助上</w:t>
      </w:r>
      <w:r>
        <w:rPr>
          <w:rFonts w:hint="eastAsia" w:ascii="仿宋_GB2312" w:hAnsi="仿宋_GB2312" w:eastAsia="仿宋_GB2312" w:cs="仿宋_GB2312"/>
          <w:color w:val="000000"/>
          <w:kern w:val="0"/>
          <w:sz w:val="32"/>
          <w:szCs w:val="32"/>
          <w:lang w:eastAsia="zh-CN"/>
        </w:rPr>
        <w:t>中</w:t>
      </w:r>
      <w:r>
        <w:rPr>
          <w:rFonts w:hint="eastAsia" w:ascii="仿宋_GB2312" w:hAnsi="仿宋_GB2312" w:eastAsia="仿宋_GB2312" w:cs="仿宋_GB2312"/>
          <w:color w:val="000000"/>
          <w:kern w:val="0"/>
          <w:sz w:val="32"/>
          <w:szCs w:val="32"/>
        </w:rPr>
        <w:t>级做好援藏援疆干部选派工作；负责规划、部署、组织实施青年干部、妇女干部、党外干部的培养、选拔、任用工作；协助管理垂直管理单位领导班子和领导干部，对领导班子建设和领导干部选拔任用提出意见和建议。</w:t>
      </w:r>
    </w:p>
    <w:p w14:paraId="61C2891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负责全县干部信息、干部统计、党内统计、人事档案等工作的综合指导。</w:t>
      </w:r>
    </w:p>
    <w:p w14:paraId="4C31EE1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负责干部监督工作的宏观指导，负责组织人事工作的督促检查，及时向县委和上级有关部门反映重要情况，对反映领导班子和领导干部的重要问题进行调查了解和督查督办；负责对党政领导干部的选拔任用工作进行监督，对有关监督制度的落实情况进行督查。</w:t>
      </w:r>
    </w:p>
    <w:p w14:paraId="239E284F">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rPr>
        <w:t>负责全县干部教育培训的宏观管理，制订全县干部教育工作规划和制度，组织、协调市管、县管干部和部分中青年干部的培训；指导、协调、检查乡镇和县直机关的干部教育工作。</w:t>
      </w:r>
    </w:p>
    <w:p w14:paraId="3CAFED10">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rPr>
        <w:t>组织拟订全县人才发展规划并组织实施，组织拟订全县人才工作政策及其配套措施，组织实施全县重大人才工程和人才工作重大专项计划，指导协调全县各类人才队伍建设，负责全县人才考核管理。</w:t>
      </w:r>
    </w:p>
    <w:p w14:paraId="4D6DC9B1">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rPr>
        <w:t>负责研究和指导党组织建设，制订加强党的工作制度、党内生活制度的规定和意见；会同有关部门对乡镇党委（工委）和县直机关党组织换届选举及民主生活会进行指导；研究指导党的基层组织建设以及党组织的设置原则、隶属关系和活动内容、工作方式。</w:t>
      </w:r>
    </w:p>
    <w:p w14:paraId="0312F7FA">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rPr>
        <w:t>研究、指导党员队伍建设，主管党员管理和发展工作，指导、协调党员教育工作；组织和开展新时期党的建设的理论研究；负责党费的收缴管理；指导全县党员电化教育。</w:t>
      </w:r>
    </w:p>
    <w:p w14:paraId="61A5CE44">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rPr>
        <w:t>会同有关单位部门做好各级党代表、人大代表、政协委员的推荐、提名和选举工作；做好各级党代表的联络、管理和服务工作。</w:t>
      </w:r>
    </w:p>
    <w:p w14:paraId="5C4ED64E">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rPr>
        <w:t>负责全县组织人事工作的调查研究，及时向上级组织部门报告党的组织人事工作的重要情况；负责全县党员、干部的来信来访工作。</w:t>
      </w:r>
    </w:p>
    <w:p w14:paraId="5411FE13">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rPr>
        <w:t>负责全县机关公务员和参照公务员法管理单位工作人员录用计划申报、考试录用、调配（调任）、培训、考核等工作；负责全县机关公务员和参照公务员法管理单位工作人员工资、奖金、津贴补贴管理有关工作。</w:t>
      </w:r>
    </w:p>
    <w:p w14:paraId="0BF93EFB">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000000"/>
          <w:kern w:val="0"/>
          <w:sz w:val="32"/>
          <w:szCs w:val="32"/>
          <w:lang w:eastAsia="zh-CN"/>
        </w:rPr>
      </w:pPr>
      <w:r>
        <w:rPr>
          <w:rFonts w:hint="eastAsia" w:ascii="仿宋_GB2312" w:hAnsi="仿宋_GB2312" w:eastAsia="仿宋_GB2312" w:cs="仿宋_GB2312"/>
          <w:color w:val="000000"/>
          <w:kern w:val="0"/>
          <w:sz w:val="32"/>
          <w:szCs w:val="32"/>
        </w:rPr>
        <w:t>负责全县离退休干部工作。贯彻执行上级有关离退休干部工作的方针、政策，制定全县离退休干部管理工作规划制度，指导、监督、协调各单位做好离退休干部管理和服务工作。</w:t>
      </w:r>
    </w:p>
    <w:p w14:paraId="532F67AE">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color w:val="000000"/>
          <w:kern w:val="0"/>
          <w:sz w:val="32"/>
          <w:szCs w:val="32"/>
        </w:rPr>
        <w:t>承办县委和上级部门交办的其他事项。</w:t>
      </w:r>
    </w:p>
    <w:p w14:paraId="3B1EF346">
      <w:pPr>
        <w:keepNext w:val="0"/>
        <w:keepLines w:val="0"/>
        <w:pageBreakBefore w:val="0"/>
        <w:widowControl w:val="0"/>
        <w:kinsoku/>
        <w:wordWrap/>
        <w:overflowPunct/>
        <w:topLinePunct w:val="0"/>
        <w:autoSpaceDE/>
        <w:autoSpaceDN/>
        <w:bidi w:val="0"/>
        <w:spacing w:line="560" w:lineRule="exact"/>
        <w:ind w:firstLine="640"/>
        <w:jc w:val="left"/>
        <w:textAlignment w:val="auto"/>
        <w:rPr>
          <w:rFonts w:hint="eastAsia" w:ascii="黑体" w:hAnsi="黑体" w:eastAsia="黑体" w:cs="黑体"/>
          <w:bCs/>
          <w:sz w:val="32"/>
          <w:szCs w:val="32"/>
        </w:rPr>
      </w:pPr>
      <w:r>
        <w:rPr>
          <w:rFonts w:hint="eastAsia" w:ascii="黑体" w:hAnsi="黑体" w:eastAsia="黑体" w:cs="黑体"/>
          <w:bCs/>
          <w:sz w:val="32"/>
          <w:szCs w:val="32"/>
        </w:rPr>
        <w:t>机构设置：</w:t>
      </w:r>
    </w:p>
    <w:p w14:paraId="20C0D215">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eastAsia="仿宋_GB2312" w:cs="Arial Black"/>
          <w:kern w:val="0"/>
          <w:sz w:val="32"/>
          <w:szCs w:val="32"/>
        </w:rPr>
      </w:pPr>
      <w:r>
        <w:rPr>
          <w:rFonts w:hint="eastAsia" w:ascii="仿宋_GB2312" w:eastAsia="仿宋_GB2312" w:cs="Arial Black"/>
          <w:kern w:val="0"/>
          <w:sz w:val="32"/>
          <w:szCs w:val="32"/>
        </w:rPr>
        <w:t>组织机构共1个，具体情况如下：</w:t>
      </w:r>
    </w:p>
    <w:tbl>
      <w:tblPr>
        <w:tblStyle w:val="7"/>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14:paraId="5338A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noWrap w:val="0"/>
            <w:vAlign w:val="center"/>
          </w:tcPr>
          <w:p w14:paraId="60CAFB30">
            <w:pPr>
              <w:keepNext w:val="0"/>
              <w:keepLines w:val="0"/>
              <w:pageBreakBefore w:val="0"/>
              <w:widowControl w:val="0"/>
              <w:kinsoku/>
              <w:wordWrap/>
              <w:overflowPunct/>
              <w:topLinePunct w:val="0"/>
              <w:autoSpaceDE/>
              <w:autoSpaceDN/>
              <w:bidi w:val="0"/>
              <w:spacing w:line="560" w:lineRule="exact"/>
              <w:jc w:val="center"/>
              <w:textAlignment w:val="auto"/>
              <w:rPr>
                <w:rFonts w:ascii="仿宋_GB2312" w:eastAsia="仿宋_GB2312" w:cs="Arial Black"/>
                <w:b/>
                <w:bCs/>
                <w:kern w:val="0"/>
                <w:sz w:val="28"/>
                <w:szCs w:val="28"/>
              </w:rPr>
            </w:pPr>
            <w:r>
              <w:rPr>
                <w:rFonts w:hint="eastAsia" w:ascii="仿宋_GB2312" w:eastAsia="仿宋_GB2312" w:cs="Arial Black"/>
                <w:b/>
                <w:bCs/>
                <w:kern w:val="0"/>
                <w:sz w:val="28"/>
                <w:szCs w:val="28"/>
              </w:rPr>
              <w:t>序号</w:t>
            </w:r>
          </w:p>
        </w:tc>
        <w:tc>
          <w:tcPr>
            <w:tcW w:w="3426" w:type="dxa"/>
            <w:noWrap w:val="0"/>
            <w:vAlign w:val="center"/>
          </w:tcPr>
          <w:p w14:paraId="4AFAD838">
            <w:pPr>
              <w:keepNext w:val="0"/>
              <w:keepLines w:val="0"/>
              <w:pageBreakBefore w:val="0"/>
              <w:widowControl w:val="0"/>
              <w:kinsoku/>
              <w:wordWrap/>
              <w:overflowPunct/>
              <w:topLinePunct w:val="0"/>
              <w:autoSpaceDE/>
              <w:autoSpaceDN/>
              <w:bidi w:val="0"/>
              <w:spacing w:line="560" w:lineRule="exact"/>
              <w:jc w:val="center"/>
              <w:textAlignment w:val="auto"/>
              <w:rPr>
                <w:rFonts w:ascii="仿宋_GB2312" w:eastAsia="仿宋_GB2312" w:cs="Arial Black"/>
                <w:b/>
                <w:bCs/>
                <w:kern w:val="0"/>
                <w:sz w:val="28"/>
                <w:szCs w:val="28"/>
              </w:rPr>
            </w:pPr>
            <w:r>
              <w:rPr>
                <w:rFonts w:hint="eastAsia" w:ascii="仿宋_GB2312" w:eastAsia="仿宋_GB2312" w:cs="Arial Black"/>
                <w:b/>
                <w:bCs/>
                <w:kern w:val="0"/>
                <w:sz w:val="28"/>
                <w:szCs w:val="28"/>
              </w:rPr>
              <w:t>单位名称</w:t>
            </w:r>
          </w:p>
        </w:tc>
        <w:tc>
          <w:tcPr>
            <w:tcW w:w="2404" w:type="dxa"/>
            <w:noWrap w:val="0"/>
            <w:vAlign w:val="center"/>
          </w:tcPr>
          <w:p w14:paraId="525EEF2A">
            <w:pPr>
              <w:keepNext w:val="0"/>
              <w:keepLines w:val="0"/>
              <w:pageBreakBefore w:val="0"/>
              <w:widowControl w:val="0"/>
              <w:kinsoku/>
              <w:wordWrap/>
              <w:overflowPunct/>
              <w:topLinePunct w:val="0"/>
              <w:autoSpaceDE/>
              <w:autoSpaceDN/>
              <w:bidi w:val="0"/>
              <w:spacing w:line="560" w:lineRule="exact"/>
              <w:jc w:val="center"/>
              <w:textAlignment w:val="auto"/>
              <w:rPr>
                <w:rFonts w:ascii="仿宋_GB2312" w:eastAsia="仿宋_GB2312" w:cs="Arial Black"/>
                <w:b/>
                <w:bCs/>
                <w:kern w:val="0"/>
                <w:sz w:val="28"/>
                <w:szCs w:val="28"/>
              </w:rPr>
            </w:pPr>
            <w:r>
              <w:rPr>
                <w:rFonts w:hint="eastAsia" w:ascii="仿宋_GB2312" w:eastAsia="仿宋_GB2312" w:cs="Arial Black"/>
                <w:b/>
                <w:bCs/>
                <w:kern w:val="0"/>
                <w:sz w:val="28"/>
                <w:szCs w:val="28"/>
              </w:rPr>
              <w:t>单位基本性质</w:t>
            </w:r>
          </w:p>
        </w:tc>
        <w:tc>
          <w:tcPr>
            <w:tcW w:w="2622" w:type="dxa"/>
            <w:noWrap w:val="0"/>
            <w:vAlign w:val="center"/>
          </w:tcPr>
          <w:p w14:paraId="52752ABF">
            <w:pPr>
              <w:keepNext w:val="0"/>
              <w:keepLines w:val="0"/>
              <w:pageBreakBefore w:val="0"/>
              <w:widowControl w:val="0"/>
              <w:kinsoku/>
              <w:wordWrap/>
              <w:overflowPunct/>
              <w:topLinePunct w:val="0"/>
              <w:autoSpaceDE/>
              <w:autoSpaceDN/>
              <w:bidi w:val="0"/>
              <w:spacing w:line="560" w:lineRule="exact"/>
              <w:jc w:val="center"/>
              <w:textAlignment w:val="auto"/>
              <w:rPr>
                <w:rFonts w:ascii="仿宋_GB2312" w:eastAsia="仿宋_GB2312" w:cs="Arial Black"/>
                <w:b/>
                <w:bCs/>
                <w:kern w:val="0"/>
                <w:sz w:val="28"/>
                <w:szCs w:val="28"/>
              </w:rPr>
            </w:pPr>
            <w:r>
              <w:rPr>
                <w:rFonts w:hint="eastAsia" w:ascii="仿宋_GB2312" w:eastAsia="仿宋_GB2312" w:cs="Arial Black"/>
                <w:b/>
                <w:bCs/>
                <w:kern w:val="0"/>
                <w:sz w:val="28"/>
                <w:szCs w:val="28"/>
              </w:rPr>
              <w:t>经费形式</w:t>
            </w:r>
          </w:p>
        </w:tc>
      </w:tr>
      <w:tr w14:paraId="3BD71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noWrap w:val="0"/>
            <w:vAlign w:val="top"/>
          </w:tcPr>
          <w:p w14:paraId="57880C6E">
            <w:pPr>
              <w:keepNext w:val="0"/>
              <w:keepLines w:val="0"/>
              <w:pageBreakBefore w:val="0"/>
              <w:widowControl w:val="0"/>
              <w:kinsoku/>
              <w:wordWrap/>
              <w:overflowPunct/>
              <w:topLinePunct w:val="0"/>
              <w:autoSpaceDE/>
              <w:autoSpaceDN/>
              <w:bidi w:val="0"/>
              <w:spacing w:line="560" w:lineRule="exact"/>
              <w:jc w:val="center"/>
              <w:textAlignment w:val="auto"/>
              <w:rPr>
                <w:rFonts w:ascii="仿宋_GB2312" w:eastAsia="仿宋_GB2312" w:cs="Arial Black"/>
                <w:kern w:val="0"/>
                <w:szCs w:val="28"/>
              </w:rPr>
            </w:pPr>
            <w:r>
              <w:rPr>
                <w:rFonts w:hint="eastAsia" w:ascii="仿宋_GB2312" w:eastAsia="仿宋_GB2312" w:cs="Arial Black"/>
                <w:kern w:val="0"/>
                <w:szCs w:val="28"/>
              </w:rPr>
              <w:t>1</w:t>
            </w:r>
          </w:p>
        </w:tc>
        <w:tc>
          <w:tcPr>
            <w:tcW w:w="3426" w:type="dxa"/>
            <w:noWrap w:val="0"/>
            <w:vAlign w:val="top"/>
          </w:tcPr>
          <w:p w14:paraId="424B46AA">
            <w:pPr>
              <w:keepNext w:val="0"/>
              <w:keepLines w:val="0"/>
              <w:pageBreakBefore w:val="0"/>
              <w:widowControl w:val="0"/>
              <w:kinsoku/>
              <w:wordWrap/>
              <w:overflowPunct/>
              <w:topLinePunct w:val="0"/>
              <w:autoSpaceDE/>
              <w:autoSpaceDN/>
              <w:bidi w:val="0"/>
              <w:spacing w:line="560" w:lineRule="exact"/>
              <w:jc w:val="center"/>
              <w:textAlignment w:val="auto"/>
              <w:rPr>
                <w:rFonts w:ascii="仿宋_GB2312" w:eastAsia="仿宋_GB2312" w:cs="Arial Black"/>
                <w:kern w:val="0"/>
                <w:sz w:val="22"/>
                <w:szCs w:val="32"/>
              </w:rPr>
            </w:pPr>
            <w:r>
              <w:rPr>
                <w:rFonts w:hint="eastAsia" w:ascii="仿宋_GB2312" w:eastAsia="仿宋_GB2312" w:cs="Arial Black"/>
                <w:kern w:val="0"/>
                <w:sz w:val="22"/>
                <w:szCs w:val="32"/>
              </w:rPr>
              <w:t>中国共产党元氏县委员会组织部</w:t>
            </w:r>
          </w:p>
        </w:tc>
        <w:tc>
          <w:tcPr>
            <w:tcW w:w="2404" w:type="dxa"/>
            <w:noWrap w:val="0"/>
            <w:vAlign w:val="top"/>
          </w:tcPr>
          <w:p w14:paraId="2DBB4EA0">
            <w:pPr>
              <w:keepNext w:val="0"/>
              <w:keepLines w:val="0"/>
              <w:pageBreakBefore w:val="0"/>
              <w:widowControl w:val="0"/>
              <w:kinsoku/>
              <w:wordWrap/>
              <w:overflowPunct/>
              <w:topLinePunct w:val="0"/>
              <w:autoSpaceDE/>
              <w:autoSpaceDN/>
              <w:bidi w:val="0"/>
              <w:spacing w:line="560" w:lineRule="exact"/>
              <w:jc w:val="center"/>
              <w:textAlignment w:val="auto"/>
              <w:rPr>
                <w:rFonts w:ascii="仿宋_GB2312" w:eastAsia="仿宋_GB2312" w:cs="Arial Black"/>
                <w:kern w:val="0"/>
                <w:sz w:val="28"/>
                <w:szCs w:val="40"/>
              </w:rPr>
            </w:pPr>
            <w:r>
              <w:rPr>
                <w:rFonts w:hint="eastAsia" w:ascii="仿宋_GB2312" w:eastAsia="仿宋_GB2312" w:cs="Arial Black"/>
                <w:kern w:val="0"/>
                <w:sz w:val="28"/>
                <w:szCs w:val="40"/>
              </w:rPr>
              <w:t>行政单位</w:t>
            </w:r>
          </w:p>
        </w:tc>
        <w:tc>
          <w:tcPr>
            <w:tcW w:w="2622" w:type="dxa"/>
            <w:noWrap w:val="0"/>
            <w:vAlign w:val="top"/>
          </w:tcPr>
          <w:p w14:paraId="7CB3D038">
            <w:pPr>
              <w:keepNext w:val="0"/>
              <w:keepLines w:val="0"/>
              <w:pageBreakBefore w:val="0"/>
              <w:widowControl w:val="0"/>
              <w:kinsoku/>
              <w:wordWrap/>
              <w:overflowPunct/>
              <w:topLinePunct w:val="0"/>
              <w:autoSpaceDE/>
              <w:autoSpaceDN/>
              <w:bidi w:val="0"/>
              <w:spacing w:line="560" w:lineRule="exact"/>
              <w:jc w:val="center"/>
              <w:textAlignment w:val="auto"/>
              <w:rPr>
                <w:rFonts w:ascii="仿宋_GB2312" w:eastAsia="仿宋_GB2312" w:cs="Arial Black"/>
                <w:kern w:val="0"/>
                <w:sz w:val="28"/>
                <w:szCs w:val="40"/>
              </w:rPr>
            </w:pPr>
            <w:r>
              <w:rPr>
                <w:rFonts w:hint="eastAsia" w:ascii="仿宋_GB2312" w:eastAsia="仿宋_GB2312" w:cs="Arial Black"/>
                <w:kern w:val="0"/>
                <w:sz w:val="28"/>
                <w:szCs w:val="40"/>
              </w:rPr>
              <w:t>财政拨款</w:t>
            </w:r>
          </w:p>
        </w:tc>
      </w:tr>
    </w:tbl>
    <w:p w14:paraId="61E253AD">
      <w:pPr>
        <w:keepNext w:val="0"/>
        <w:keepLines w:val="0"/>
        <w:pageBreakBefore w:val="0"/>
        <w:widowControl w:val="0"/>
        <w:kinsoku/>
        <w:wordWrap/>
        <w:overflowPunct/>
        <w:topLinePunct w:val="0"/>
        <w:autoSpaceDE/>
        <w:autoSpaceDN/>
        <w:bidi w:val="0"/>
        <w:spacing w:line="560" w:lineRule="exact"/>
        <w:ind w:firstLine="640"/>
        <w:jc w:val="left"/>
        <w:textAlignment w:val="auto"/>
        <w:rPr>
          <w:rFonts w:ascii="黑体" w:hAnsi="黑体" w:eastAsia="黑体" w:cs="黑体"/>
          <w:bCs/>
          <w:sz w:val="32"/>
          <w:szCs w:val="32"/>
        </w:rPr>
      </w:pPr>
      <w:r>
        <w:rPr>
          <w:rFonts w:hint="eastAsia" w:ascii="黑体" w:hAnsi="黑体" w:eastAsia="黑体" w:cs="黑体"/>
          <w:bCs/>
          <w:sz w:val="32"/>
          <w:szCs w:val="32"/>
        </w:rPr>
        <w:t>人员情况：</w:t>
      </w:r>
    </w:p>
    <w:p w14:paraId="537ABB9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color w:val="000000"/>
          <w:kern w:val="0"/>
          <w:sz w:val="32"/>
          <w:szCs w:val="32"/>
          <w:lang w:bidi="ar"/>
        </w:rPr>
      </w:pPr>
      <w:r>
        <w:rPr>
          <w:rFonts w:hint="eastAsia" w:ascii="仿宋_GB2312" w:hAnsi="仿宋_GB2312" w:eastAsia="仿宋_GB2312" w:cs="仿宋_GB2312"/>
          <w:color w:val="000000"/>
          <w:kern w:val="0"/>
          <w:sz w:val="32"/>
          <w:szCs w:val="32"/>
          <w:lang w:bidi="ar"/>
        </w:rPr>
        <w:t>202</w:t>
      </w:r>
      <w:r>
        <w:rPr>
          <w:rFonts w:hint="eastAsia" w:ascii="仿宋_GB2312" w:hAnsi="仿宋_GB2312" w:eastAsia="仿宋_GB2312" w:cs="仿宋_GB2312"/>
          <w:color w:val="000000"/>
          <w:kern w:val="0"/>
          <w:sz w:val="32"/>
          <w:szCs w:val="32"/>
          <w:lang w:val="en-US" w:eastAsia="zh-CN" w:bidi="ar"/>
        </w:rPr>
        <w:t>5</w:t>
      </w:r>
      <w:r>
        <w:rPr>
          <w:rFonts w:hint="eastAsia" w:ascii="仿宋_GB2312" w:hAnsi="仿宋_GB2312" w:eastAsia="仿宋_GB2312" w:cs="仿宋_GB2312"/>
          <w:color w:val="000000"/>
          <w:kern w:val="0"/>
          <w:sz w:val="32"/>
          <w:szCs w:val="32"/>
          <w:lang w:bidi="ar"/>
        </w:rPr>
        <w:t>年底</w:t>
      </w:r>
      <w:r>
        <w:rPr>
          <w:rFonts w:ascii="仿宋_GB2312" w:hAnsi="仿宋_GB2312" w:eastAsia="仿宋_GB2312" w:cs="仿宋_GB2312"/>
          <w:color w:val="000000"/>
          <w:kern w:val="0"/>
          <w:sz w:val="32"/>
          <w:szCs w:val="32"/>
          <w:lang w:bidi="ar"/>
        </w:rPr>
        <w:t>，我单位实有</w:t>
      </w:r>
      <w:r>
        <w:rPr>
          <w:rFonts w:hint="eastAsia" w:ascii="仿宋_GB2312" w:hAnsi="仿宋_GB2312" w:eastAsia="仿宋_GB2312" w:cs="仿宋_GB2312"/>
          <w:color w:val="000000"/>
          <w:kern w:val="0"/>
          <w:sz w:val="32"/>
          <w:szCs w:val="32"/>
          <w:lang w:bidi="ar"/>
        </w:rPr>
        <w:t>在职</w:t>
      </w:r>
      <w:r>
        <w:rPr>
          <w:rFonts w:ascii="仿宋_GB2312" w:hAnsi="仿宋_GB2312" w:eastAsia="仿宋_GB2312" w:cs="仿宋_GB2312"/>
          <w:color w:val="000000"/>
          <w:kern w:val="0"/>
          <w:sz w:val="32"/>
          <w:szCs w:val="32"/>
          <w:lang w:bidi="ar"/>
        </w:rPr>
        <w:t>人员</w:t>
      </w:r>
      <w:r>
        <w:rPr>
          <w:rFonts w:hint="eastAsia" w:ascii="仿宋_GB2312" w:hAnsi="仿宋_GB2312" w:eastAsia="仿宋_GB2312" w:cs="仿宋_GB2312"/>
          <w:color w:val="000000"/>
          <w:kern w:val="0"/>
          <w:sz w:val="32"/>
          <w:szCs w:val="32"/>
          <w:lang w:val="en-US" w:eastAsia="zh-CN" w:bidi="ar"/>
        </w:rPr>
        <w:t>36</w:t>
      </w:r>
      <w:r>
        <w:rPr>
          <w:rFonts w:hint="eastAsia" w:ascii="仿宋_GB2312" w:hAnsi="仿宋_GB2312" w:eastAsia="仿宋_GB2312" w:cs="仿宋_GB2312"/>
          <w:color w:val="000000"/>
          <w:kern w:val="0"/>
          <w:sz w:val="32"/>
          <w:szCs w:val="32"/>
          <w:lang w:bidi="ar"/>
        </w:rPr>
        <w:t>人</w:t>
      </w:r>
      <w:r>
        <w:rPr>
          <w:rFonts w:ascii="仿宋_GB2312" w:hAnsi="仿宋_GB2312" w:eastAsia="仿宋_GB2312" w:cs="仿宋_GB2312"/>
          <w:color w:val="000000"/>
          <w:kern w:val="0"/>
          <w:sz w:val="32"/>
          <w:szCs w:val="32"/>
          <w:lang w:bidi="ar"/>
        </w:rPr>
        <w:t>，退休人员</w:t>
      </w:r>
      <w:r>
        <w:rPr>
          <w:rFonts w:hint="eastAsia" w:ascii="仿宋_GB2312" w:hAnsi="仿宋_GB2312" w:eastAsia="仿宋_GB2312" w:cs="仿宋_GB2312"/>
          <w:color w:val="000000"/>
          <w:kern w:val="0"/>
          <w:sz w:val="32"/>
          <w:szCs w:val="32"/>
          <w:lang w:val="en-US" w:eastAsia="zh-CN" w:bidi="ar"/>
        </w:rPr>
        <w:t>11</w:t>
      </w:r>
      <w:r>
        <w:rPr>
          <w:rFonts w:hint="eastAsia" w:ascii="仿宋_GB2312" w:hAnsi="仿宋_GB2312" w:eastAsia="仿宋_GB2312" w:cs="仿宋_GB2312"/>
          <w:color w:val="000000"/>
          <w:kern w:val="0"/>
          <w:sz w:val="32"/>
          <w:szCs w:val="32"/>
          <w:lang w:bidi="ar"/>
        </w:rPr>
        <w:t>人。</w:t>
      </w:r>
    </w:p>
    <w:p w14:paraId="2E4CD7EE">
      <w:pPr>
        <w:keepNext w:val="0"/>
        <w:keepLines w:val="0"/>
        <w:pageBreakBefore w:val="0"/>
        <w:widowControl w:val="0"/>
        <w:kinsoku/>
        <w:wordWrap/>
        <w:overflowPunct/>
        <w:topLinePunct w:val="0"/>
        <w:autoSpaceDE/>
        <w:autoSpaceDN/>
        <w:bidi w:val="0"/>
        <w:spacing w:line="560" w:lineRule="exact"/>
        <w:ind w:firstLine="640"/>
        <w:jc w:val="left"/>
        <w:textAlignment w:val="auto"/>
        <w:rPr>
          <w:rFonts w:ascii="黑体" w:hAnsi="黑体" w:eastAsia="黑体" w:cs="黑体"/>
          <w:bCs/>
          <w:sz w:val="32"/>
          <w:szCs w:val="32"/>
        </w:rPr>
      </w:pPr>
      <w:r>
        <w:rPr>
          <w:rFonts w:hint="eastAsia" w:ascii="黑体" w:hAnsi="黑体" w:eastAsia="黑体" w:cs="黑体"/>
          <w:bCs/>
          <w:sz w:val="32"/>
          <w:szCs w:val="32"/>
        </w:rPr>
        <w:t>固定资产：</w:t>
      </w:r>
    </w:p>
    <w:p w14:paraId="02EE67A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highlight w:val="none"/>
        </w:rPr>
      </w:pPr>
      <w:r>
        <w:rPr>
          <w:rFonts w:hint="eastAsia" w:ascii="仿宋_GB2312" w:hAnsi="仿宋_GB2312" w:eastAsia="仿宋_GB2312" w:cs="仿宋_GB2312"/>
          <w:color w:val="000000"/>
          <w:kern w:val="0"/>
          <w:sz w:val="32"/>
          <w:szCs w:val="32"/>
          <w:lang w:bidi="ar"/>
        </w:rPr>
        <w:t>中国共产党元氏县委员会组织部</w:t>
      </w:r>
      <w:r>
        <w:rPr>
          <w:rFonts w:hint="eastAsia" w:ascii="仿宋_GB2312" w:hAnsi="仿宋_GB2312" w:eastAsia="仿宋_GB2312" w:cs="仿宋_GB2312"/>
          <w:color w:val="000000"/>
          <w:kern w:val="0"/>
          <w:sz w:val="32"/>
          <w:szCs w:val="32"/>
          <w:lang w:val="en-US" w:eastAsia="zh-CN" w:bidi="ar"/>
        </w:rPr>
        <w:t>2025</w:t>
      </w:r>
      <w:r>
        <w:rPr>
          <w:rFonts w:hint="eastAsia" w:ascii="仿宋_GB2312" w:hAnsi="仿宋_GB2312" w:eastAsia="仿宋_GB2312" w:cs="仿宋_GB2312"/>
          <w:color w:val="000000"/>
          <w:kern w:val="0"/>
          <w:sz w:val="32"/>
          <w:szCs w:val="32"/>
          <w:highlight w:val="none"/>
          <w:lang w:val="en-US" w:eastAsia="zh-CN" w:bidi="ar"/>
        </w:rPr>
        <w:t>年</w:t>
      </w:r>
      <w:r>
        <w:rPr>
          <w:rFonts w:hint="eastAsia" w:ascii="仿宋_GB2312" w:hAnsi="仿宋_GB2312" w:eastAsia="仿宋_GB2312" w:cs="仿宋_GB2312"/>
          <w:color w:val="000000"/>
          <w:kern w:val="0"/>
          <w:sz w:val="32"/>
          <w:szCs w:val="32"/>
          <w:highlight w:val="none"/>
          <w:lang w:bidi="ar"/>
        </w:rPr>
        <w:t>年末固定资产金额为</w:t>
      </w:r>
      <w:r>
        <w:rPr>
          <w:rFonts w:hint="eastAsia" w:ascii="仿宋_GB2312" w:hAnsi="仿宋_GB2312" w:eastAsia="仿宋_GB2312" w:cs="仿宋_GB2312"/>
          <w:color w:val="000000"/>
          <w:kern w:val="0"/>
          <w:sz w:val="32"/>
          <w:szCs w:val="32"/>
          <w:highlight w:val="none"/>
          <w:lang w:val="en-US" w:eastAsia="zh-CN" w:bidi="ar"/>
        </w:rPr>
        <w:t>402.823337</w:t>
      </w:r>
      <w:r>
        <w:rPr>
          <w:rFonts w:hint="eastAsia" w:ascii="仿宋_GB2312" w:hAnsi="仿宋_GB2312" w:eastAsia="仿宋_GB2312" w:cs="仿宋_GB2312"/>
          <w:color w:val="000000"/>
          <w:kern w:val="0"/>
          <w:sz w:val="32"/>
          <w:szCs w:val="32"/>
          <w:highlight w:val="none"/>
          <w:lang w:bidi="ar"/>
        </w:rPr>
        <w:t>万元。</w:t>
      </w:r>
    </w:p>
    <w:p w14:paraId="4E33387E">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0C05E8B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kern w:val="0"/>
          <w:sz w:val="32"/>
          <w:szCs w:val="32"/>
          <w:lang w:eastAsia="zh-CN" w:bidi="ar"/>
        </w:rPr>
      </w:pPr>
      <w:r>
        <w:rPr>
          <w:rFonts w:hint="eastAsia" w:ascii="仿宋_GB2312" w:hAnsi="仿宋_GB2312" w:eastAsia="仿宋_GB2312" w:cs="仿宋_GB2312"/>
          <w:color w:val="000000"/>
          <w:kern w:val="0"/>
          <w:sz w:val="32"/>
          <w:szCs w:val="32"/>
          <w:lang w:bidi="ar"/>
        </w:rPr>
        <w:t>本单位2025年度收支总计（含结转和结余）649.49万元。与2024年度决算相比，收支各减少70.5万元，减少9.79%，主要原因是减少了公务员奖励经费和拔尖人才津贴经费等项目</w:t>
      </w:r>
      <w:r>
        <w:rPr>
          <w:rFonts w:hint="eastAsia" w:ascii="仿宋_GB2312" w:hAnsi="仿宋_GB2312" w:eastAsia="仿宋_GB2312" w:cs="仿宋_GB2312"/>
          <w:color w:val="000000"/>
          <w:kern w:val="0"/>
          <w:sz w:val="32"/>
          <w:szCs w:val="32"/>
          <w:lang w:eastAsia="zh-CN" w:bidi="ar"/>
        </w:rPr>
        <w:t>。</w:t>
      </w:r>
    </w:p>
    <w:p w14:paraId="5DCFAFF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870748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本单位202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个项目均完成了年初绩效目标。比如干部教育培训经费的绩效目标为：完成县管干部、部分优秀年轻干部、组织系统干部以及其他相关培训工作，完成县委领导安排的专题培训，培养高素质专业化干部队伍，本单位均按要求完成了年初绩效目标，完成率以及满意度达95%以上。比如基层党组织工作经费的绩效目标为：规范化建设5个基层党组织，抓好村级组织活动场所规范化建设，筑牢基层红色堡垒，按要求完成了年初绩效目标，完成率以及满意度达95%以上。</w:t>
      </w:r>
    </w:p>
    <w:p w14:paraId="59C88E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27F4A95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 w:hAnsi="楷体" w:eastAsia="楷体" w:cs="楷体_GB2312"/>
          <w:sz w:val="32"/>
          <w:szCs w:val="32"/>
        </w:rPr>
      </w:pPr>
      <w:r>
        <w:rPr>
          <w:rFonts w:hint="eastAsia" w:ascii="楷体" w:hAnsi="楷体" w:eastAsia="楷体" w:cs="楷体_GB2312"/>
          <w:bCs/>
          <w:sz w:val="32"/>
          <w:szCs w:val="32"/>
        </w:rPr>
        <w:t>（一）自评的组织工作</w:t>
      </w:r>
    </w:p>
    <w:p w14:paraId="2847BF1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1.准备情况：</w:t>
      </w:r>
    </w:p>
    <w:p w14:paraId="0C836A7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一是明确绩效评价的内容和范围。明确四个方面的评价内容和此次绩效评价的范围。二是研究评价指标体系。三是召开座谈会，对方案进行反复讨论并广泛征求有关问道有关人员意见。四是确定了部门项目预算评价方法。</w:t>
      </w:r>
    </w:p>
    <w:p w14:paraId="649DAF3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2.实施情况：</w:t>
      </w:r>
    </w:p>
    <w:p w14:paraId="1DA057D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（1）成立预算绩效评价组。为保证绩效评价工作顺利开展，我单位成立了专门绩效评价小组，负责绩效评价的组织管理和实施工作。</w:t>
      </w:r>
    </w:p>
    <w:p w14:paraId="68666D8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（2）组织部门自评。预算按照要求整理相关数据和资料，对部门综合绩效情况进行自我评价，填报《项目支出绩效自评表》，并撰写《部门年度绩效自评工作报告》。</w:t>
      </w:r>
    </w:p>
    <w:p w14:paraId="6B7C221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lang w:eastAsia="zh-CN"/>
        </w:rPr>
        <w:t>）</w:t>
      </w:r>
      <w:r>
        <w:rPr>
          <w:rFonts w:hint="eastAsia" w:ascii="仿宋_GB2312" w:eastAsia="仿宋_GB2312" w:cs="DengXian-Regular"/>
          <w:sz w:val="32"/>
          <w:szCs w:val="32"/>
        </w:rPr>
        <w:t>组织开展绩效重点评价工作。本次重点评价对象为202</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年度预算的1个项目，涉及资金</w:t>
      </w:r>
      <w:r>
        <w:rPr>
          <w:rFonts w:hint="eastAsia" w:ascii="仿宋_GB2312" w:eastAsia="仿宋_GB2312" w:cs="DengXian-Regular"/>
          <w:sz w:val="32"/>
          <w:szCs w:val="32"/>
          <w:lang w:val="en-US" w:eastAsia="zh-CN"/>
        </w:rPr>
        <w:t>9.936</w:t>
      </w:r>
      <w:r>
        <w:rPr>
          <w:rFonts w:hint="eastAsia" w:ascii="仿宋_GB2312" w:eastAsia="仿宋_GB2312" w:cs="DengXian-Regular"/>
          <w:sz w:val="32"/>
          <w:szCs w:val="32"/>
        </w:rPr>
        <w:t>万元。</w:t>
      </w:r>
    </w:p>
    <w:p w14:paraId="7A9B13F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pPr>
      <w:r>
        <w:rPr>
          <w:rFonts w:hint="eastAsia" w:ascii="仿宋_GB2312" w:eastAsia="仿宋_GB2312" w:cs="DengXian-Regular"/>
          <w:sz w:val="32"/>
          <w:szCs w:val="32"/>
        </w:rPr>
        <w:t>我部门对项目资金支出由业务科室进行把关，科室负责人、主管领导、财务负责人进行集体会签，确保资金专款专用，及时高效。</w:t>
      </w:r>
    </w:p>
    <w:p w14:paraId="6E1267CF">
      <w:pPr>
        <w:keepNext w:val="0"/>
        <w:keepLines w:val="0"/>
        <w:pageBreakBefore w:val="0"/>
        <w:widowControl w:val="0"/>
        <w:numPr>
          <w:ilvl w:val="0"/>
          <w:numId w:val="2"/>
        </w:numPr>
        <w:kinsoku/>
        <w:wordWrap/>
        <w:overflowPunct/>
        <w:topLinePunct w:val="0"/>
        <w:autoSpaceDE/>
        <w:autoSpaceDN/>
        <w:bidi w:val="0"/>
        <w:spacing w:line="560" w:lineRule="exact"/>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5C1BF3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pPr>
      <w:r>
        <w:rPr>
          <w:rFonts w:hint="eastAsia" w:ascii="仿宋_GB2312" w:eastAsia="仿宋_GB2312" w:cs="DengXian-Regular"/>
          <w:sz w:val="32"/>
          <w:szCs w:val="32"/>
        </w:rPr>
        <w:t>我单位领导高度重视绩效评价工作，成立绩效评价管理工作领导小组，常务副部长任组长。自评采取成本效益法，在认真收集基础数据及资料来源的前提下对项目的支出绩效情况进行评价，对项目成果进行验收及核实，做到数据真实、资料完整、评价客观。</w:t>
      </w:r>
    </w:p>
    <w:p w14:paraId="0903A273">
      <w:pPr>
        <w:keepNext w:val="0"/>
        <w:keepLines w:val="0"/>
        <w:pageBreakBefore w:val="0"/>
        <w:widowControl w:val="0"/>
        <w:kinsoku/>
        <w:wordWrap/>
        <w:overflowPunct/>
        <w:topLinePunct w:val="0"/>
        <w:autoSpaceDE/>
        <w:autoSpaceDN/>
        <w:bidi w:val="0"/>
        <w:spacing w:line="560" w:lineRule="exact"/>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996387C">
      <w:pPr>
        <w:keepNext w:val="0"/>
        <w:keepLines w:val="0"/>
        <w:pageBreakBefore w:val="0"/>
        <w:widowControl w:val="0"/>
        <w:numPr>
          <w:ilvl w:val="0"/>
          <w:numId w:val="3"/>
        </w:numPr>
        <w:kinsoku/>
        <w:wordWrap/>
        <w:overflowPunct/>
        <w:topLinePunct w:val="0"/>
        <w:autoSpaceDE/>
        <w:autoSpaceDN/>
        <w:bidi w:val="0"/>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218959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eastAsia="仿宋_GB2312" w:cs="DengXian-Regular"/>
          <w:sz w:val="32"/>
          <w:szCs w:val="32"/>
        </w:rPr>
      </w:pPr>
      <w:r>
        <w:rPr>
          <w:rFonts w:hint="eastAsia" w:ascii="仿宋_GB2312" w:eastAsia="仿宋_GB2312" w:cs="DengXian-Regular"/>
          <w:sz w:val="32"/>
          <w:szCs w:val="32"/>
        </w:rPr>
        <w:t>总体绩效目标：组织部以全面贯习近平新时代中国特色社会主义思想和新时代党的建设总要求为引领，紧密围绕全县中心工作，狠抓重点、突出特色，各项工作顺利开展，为推进全县经济社会发展稳定提供了坚实的组织保证。坚持政治站位，以强烈的政治责任感，扎实开展“不忘初心、牢记使命”主题教育；一是坚持把学习教育贯穿始终；坚持把调查研究贯穿始终；坚持把检视问题贯穿始终；坚持把整改落实贯穿始终；坚持把调查研究贯穿始终；坚持把检视问题贯穿始终；坚持把整改落实贯穿始终；坚持高质量召开专题民主生活会；着力提高干部履职能力；不断优化干部队伍。</w:t>
      </w:r>
    </w:p>
    <w:p w14:paraId="2B667EF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sz w:val="32"/>
          <w:szCs w:val="32"/>
        </w:rPr>
      </w:pPr>
      <w:r>
        <w:rPr>
          <w:rFonts w:hint="eastAsia" w:ascii="仿宋_GB2312" w:eastAsia="仿宋_GB2312" w:cs="DengXian-Regular"/>
          <w:sz w:val="32"/>
          <w:szCs w:val="32"/>
        </w:rPr>
        <w:t>完成情况：圆满完成总体绩效目标任务，完成率100%。</w:t>
      </w:r>
    </w:p>
    <w:p w14:paraId="43E8298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59B4765D">
      <w:pPr>
        <w:keepNext w:val="0"/>
        <w:keepLines w:val="0"/>
        <w:pageBreakBefore w:val="0"/>
        <w:widowControl w:val="0"/>
        <w:kinsoku/>
        <w:wordWrap/>
        <w:overflowPunct/>
        <w:topLinePunct w:val="0"/>
        <w:autoSpaceDE/>
        <w:autoSpaceDN/>
        <w:bidi w:val="0"/>
        <w:spacing w:line="560" w:lineRule="exact"/>
        <w:ind w:firstLine="640"/>
        <w:textAlignment w:val="auto"/>
        <w:rPr>
          <w:rFonts w:hint="eastAsia" w:ascii="仿宋_GB2312" w:eastAsia="仿宋_GB2312" w:cs="DengXian-Regular"/>
          <w:sz w:val="32"/>
          <w:szCs w:val="32"/>
        </w:rPr>
      </w:pPr>
      <w:r>
        <w:rPr>
          <w:rFonts w:hint="eastAsia" w:ascii="仿宋_GB2312" w:eastAsia="仿宋_GB2312" w:cs="DengXian-Regular"/>
          <w:sz w:val="32"/>
          <w:szCs w:val="32"/>
        </w:rPr>
        <w:t>（1）基层党组织工作经费绩效目标情况</w:t>
      </w:r>
    </w:p>
    <w:p w14:paraId="61938ACC">
      <w:pPr>
        <w:keepNext w:val="0"/>
        <w:keepLines w:val="0"/>
        <w:pageBreakBefore w:val="0"/>
        <w:widowControl w:val="0"/>
        <w:kinsoku/>
        <w:wordWrap/>
        <w:overflowPunct/>
        <w:topLinePunct w:val="0"/>
        <w:autoSpaceDE/>
        <w:autoSpaceDN/>
        <w:bidi w:val="0"/>
        <w:spacing w:line="560" w:lineRule="exact"/>
        <w:ind w:firstLine="640"/>
        <w:textAlignment w:val="auto"/>
        <w:rPr>
          <w:rFonts w:hint="eastAsia" w:ascii="仿宋_GB2312" w:eastAsia="仿宋_GB2312" w:cs="DengXian-Regular"/>
          <w:sz w:val="32"/>
          <w:szCs w:val="32"/>
        </w:rPr>
      </w:pPr>
      <w:r>
        <w:rPr>
          <w:rFonts w:hint="eastAsia" w:ascii="仿宋_GB2312" w:eastAsia="仿宋_GB2312" w:cs="DengXian-Regular"/>
          <w:sz w:val="32"/>
          <w:szCs w:val="32"/>
        </w:rPr>
        <w:t>绩效目标：规范化建设5个基层党组织，抓好村级组织活动场所规范化建设，筑牢基层红色堡垒。</w:t>
      </w:r>
    </w:p>
    <w:p w14:paraId="52E8CD4B">
      <w:pPr>
        <w:keepNext w:val="0"/>
        <w:keepLines w:val="0"/>
        <w:pageBreakBefore w:val="0"/>
        <w:widowControl w:val="0"/>
        <w:kinsoku/>
        <w:wordWrap/>
        <w:overflowPunct/>
        <w:topLinePunct w:val="0"/>
        <w:autoSpaceDE/>
        <w:autoSpaceDN/>
        <w:bidi w:val="0"/>
        <w:spacing w:line="560" w:lineRule="exact"/>
        <w:ind w:firstLine="640"/>
        <w:textAlignment w:val="auto"/>
        <w:rPr>
          <w:rFonts w:hint="eastAsia" w:ascii="仿宋_GB2312" w:eastAsia="仿宋_GB2312" w:cs="DengXian-Regular"/>
          <w:sz w:val="32"/>
          <w:szCs w:val="32"/>
        </w:rPr>
      </w:pPr>
      <w:r>
        <w:rPr>
          <w:rFonts w:hint="eastAsia" w:ascii="仿宋_GB2312" w:eastAsia="仿宋_GB2312" w:cs="DengXian-Regular"/>
          <w:sz w:val="32"/>
          <w:szCs w:val="32"/>
        </w:rPr>
        <w:t>完成情况：圆满完成绩效目标任务，完成率100%。</w:t>
      </w:r>
    </w:p>
    <w:p w14:paraId="1788A135">
      <w:pPr>
        <w:keepNext w:val="0"/>
        <w:keepLines w:val="0"/>
        <w:pageBreakBefore w:val="0"/>
        <w:widowControl w:val="0"/>
        <w:kinsoku/>
        <w:wordWrap/>
        <w:overflowPunct/>
        <w:topLinePunct w:val="0"/>
        <w:autoSpaceDE/>
        <w:autoSpaceDN/>
        <w:bidi w:val="0"/>
        <w:spacing w:line="560" w:lineRule="exact"/>
        <w:ind w:firstLine="640"/>
        <w:textAlignment w:val="auto"/>
        <w:rPr>
          <w:rFonts w:hint="eastAsia" w:ascii="仿宋_GB2312" w:eastAsia="仿宋_GB2312" w:cs="DengXian-Regular"/>
          <w:sz w:val="32"/>
          <w:szCs w:val="32"/>
        </w:rPr>
      </w:pPr>
      <w:r>
        <w:rPr>
          <w:rFonts w:hint="eastAsia" w:ascii="仿宋_GB2312" w:eastAsia="仿宋_GB2312" w:cs="DengXian-Regular"/>
          <w:sz w:val="32"/>
          <w:szCs w:val="32"/>
        </w:rPr>
        <w:t>（2）干部教育培训经费绩效目标情况</w:t>
      </w:r>
    </w:p>
    <w:p w14:paraId="52EC0DAB">
      <w:pPr>
        <w:keepNext w:val="0"/>
        <w:keepLines w:val="0"/>
        <w:pageBreakBefore w:val="0"/>
        <w:widowControl w:val="0"/>
        <w:kinsoku/>
        <w:wordWrap/>
        <w:overflowPunct/>
        <w:topLinePunct w:val="0"/>
        <w:autoSpaceDE/>
        <w:autoSpaceDN/>
        <w:bidi w:val="0"/>
        <w:spacing w:line="560" w:lineRule="exact"/>
        <w:ind w:firstLine="640"/>
        <w:textAlignment w:val="auto"/>
        <w:rPr>
          <w:rFonts w:hint="eastAsia" w:ascii="仿宋_GB2312" w:eastAsia="仿宋_GB2312" w:cs="DengXian-Regular"/>
          <w:sz w:val="32"/>
          <w:szCs w:val="32"/>
        </w:rPr>
      </w:pPr>
      <w:r>
        <w:rPr>
          <w:rFonts w:hint="eastAsia" w:ascii="仿宋_GB2312" w:eastAsia="仿宋_GB2312" w:cs="DengXian-Regular"/>
          <w:sz w:val="32"/>
          <w:szCs w:val="32"/>
        </w:rPr>
        <w:t>绩效目标：</w:t>
      </w:r>
      <w:r>
        <w:rPr>
          <w:rFonts w:hint="eastAsia" w:ascii="仿宋" w:hAnsi="仿宋" w:eastAsia="仿宋" w:cs="仿宋"/>
          <w:sz w:val="32"/>
          <w:szCs w:val="32"/>
        </w:rPr>
        <w:t>完成县管干部、部分优秀年轻干部、组织系统干部以及其他相关培训工作，完成县委领导安排的专题培训，培养高素质专业化干部队伍。</w:t>
      </w:r>
    </w:p>
    <w:p w14:paraId="6166008E">
      <w:pPr>
        <w:keepNext w:val="0"/>
        <w:keepLines w:val="0"/>
        <w:pageBreakBefore w:val="0"/>
        <w:widowControl w:val="0"/>
        <w:kinsoku/>
        <w:wordWrap/>
        <w:overflowPunct/>
        <w:topLinePunct w:val="0"/>
        <w:autoSpaceDE/>
        <w:autoSpaceDN/>
        <w:bidi w:val="0"/>
        <w:spacing w:line="560" w:lineRule="exact"/>
        <w:ind w:firstLine="640"/>
        <w:textAlignment w:val="auto"/>
        <w:rPr>
          <w:rFonts w:hint="eastAsia" w:ascii="仿宋_GB2312" w:eastAsia="仿宋_GB2312" w:cs="DengXian-Regular"/>
          <w:sz w:val="32"/>
          <w:szCs w:val="32"/>
        </w:rPr>
      </w:pPr>
      <w:r>
        <w:rPr>
          <w:rFonts w:hint="eastAsia" w:ascii="仿宋_GB2312" w:eastAsia="仿宋_GB2312" w:cs="DengXian-Regular"/>
          <w:sz w:val="32"/>
          <w:szCs w:val="32"/>
        </w:rPr>
        <w:t>完成情况：圆满完成绩效目标任务，完成率100%。</w:t>
      </w:r>
    </w:p>
    <w:p w14:paraId="5AEA1BA9">
      <w:pPr>
        <w:keepNext w:val="0"/>
        <w:keepLines w:val="0"/>
        <w:pageBreakBefore w:val="0"/>
        <w:widowControl w:val="0"/>
        <w:kinsoku/>
        <w:wordWrap/>
        <w:overflowPunct/>
        <w:topLinePunct w:val="0"/>
        <w:autoSpaceDE/>
        <w:autoSpaceDN/>
        <w:bidi w:val="0"/>
        <w:spacing w:line="560" w:lineRule="exact"/>
        <w:ind w:firstLine="640"/>
        <w:textAlignment w:val="auto"/>
        <w:rPr>
          <w:rFonts w:hint="eastAsia" w:ascii="仿宋_GB2312" w:eastAsia="仿宋_GB2312" w:cs="DengXian-Regular"/>
          <w:sz w:val="32"/>
          <w:szCs w:val="32"/>
        </w:rPr>
      </w:pPr>
      <w:r>
        <w:rPr>
          <w:rFonts w:hint="eastAsia" w:ascii="仿宋_GB2312" w:eastAsia="仿宋_GB2312" w:cs="DengXian-Regular"/>
          <w:sz w:val="32"/>
          <w:szCs w:val="32"/>
        </w:rPr>
        <w:t>（3）档案管理经费绩效目标情况</w:t>
      </w:r>
    </w:p>
    <w:p w14:paraId="1D8E6B9F">
      <w:pPr>
        <w:keepNext w:val="0"/>
        <w:keepLines w:val="0"/>
        <w:pageBreakBefore w:val="0"/>
        <w:widowControl w:val="0"/>
        <w:kinsoku/>
        <w:wordWrap/>
        <w:overflowPunct/>
        <w:topLinePunct w:val="0"/>
        <w:autoSpaceDE/>
        <w:autoSpaceDN/>
        <w:bidi w:val="0"/>
        <w:spacing w:line="560" w:lineRule="exact"/>
        <w:ind w:firstLine="640"/>
        <w:textAlignment w:val="auto"/>
        <w:rPr>
          <w:rFonts w:hint="eastAsia" w:ascii="仿宋_GB2312" w:eastAsia="仿宋_GB2312" w:cs="DengXian-Regular"/>
          <w:sz w:val="32"/>
          <w:szCs w:val="32"/>
        </w:rPr>
      </w:pPr>
      <w:r>
        <w:rPr>
          <w:rFonts w:hint="eastAsia" w:ascii="仿宋_GB2312" w:eastAsia="仿宋_GB2312" w:cs="DengXian-Regular"/>
          <w:sz w:val="32"/>
          <w:szCs w:val="32"/>
        </w:rPr>
        <w:t>绩效目标：对全县干部人事档案工作进行宏观指导，及时办理符合政策的干部档案工作，确保干部档案工作顺利开展。</w:t>
      </w:r>
    </w:p>
    <w:p w14:paraId="704FDB83">
      <w:pPr>
        <w:keepNext w:val="0"/>
        <w:keepLines w:val="0"/>
        <w:pageBreakBefore w:val="0"/>
        <w:widowControl w:val="0"/>
        <w:kinsoku/>
        <w:wordWrap/>
        <w:overflowPunct/>
        <w:topLinePunct w:val="0"/>
        <w:autoSpaceDE/>
        <w:autoSpaceDN/>
        <w:bidi w:val="0"/>
        <w:spacing w:line="560" w:lineRule="exact"/>
        <w:ind w:firstLine="640"/>
        <w:textAlignment w:val="auto"/>
      </w:pPr>
      <w:r>
        <w:rPr>
          <w:rFonts w:hint="eastAsia" w:ascii="仿宋_GB2312" w:eastAsia="仿宋_GB2312" w:cs="DengXian-Regular"/>
          <w:sz w:val="32"/>
          <w:szCs w:val="32"/>
        </w:rPr>
        <w:t>完成情况：圆满完成绩效目标任务，完成率100%。</w:t>
      </w:r>
    </w:p>
    <w:p w14:paraId="286ECBE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6A2A5015">
      <w:pPr>
        <w:keepNext w:val="0"/>
        <w:keepLines w:val="0"/>
        <w:pageBreakBefore w:val="0"/>
        <w:widowControl w:val="0"/>
        <w:kinsoku/>
        <w:wordWrap/>
        <w:overflowPunct/>
        <w:topLinePunct w:val="0"/>
        <w:autoSpaceDE/>
        <w:autoSpaceDN/>
        <w:bidi w:val="0"/>
        <w:spacing w:line="560" w:lineRule="exact"/>
        <w:ind w:firstLine="640" w:firstLineChars="200"/>
        <w:textAlignment w:val="auto"/>
        <w:rPr>
          <w:highlight w:val="none"/>
        </w:rPr>
      </w:pPr>
      <w:r>
        <w:rPr>
          <w:rFonts w:hint="eastAsia" w:ascii="仿宋_GB2312" w:eastAsia="仿宋_GB2312" w:cs="DengXian-Regular"/>
          <w:sz w:val="32"/>
          <w:szCs w:val="32"/>
        </w:rPr>
        <w:t>全年共实施</w:t>
      </w:r>
      <w:r>
        <w:rPr>
          <w:rFonts w:hint="eastAsia" w:ascii="仿宋_GB2312" w:eastAsia="仿宋_GB2312" w:cs="DengXian-Regular"/>
          <w:sz w:val="32"/>
          <w:szCs w:val="32"/>
          <w:lang w:val="en-US" w:eastAsia="zh-CN"/>
        </w:rPr>
        <w:t>21</w:t>
      </w:r>
      <w:r>
        <w:rPr>
          <w:rFonts w:hint="eastAsia" w:ascii="仿宋_GB2312" w:eastAsia="仿宋_GB2312" w:cs="DengXian-Regular"/>
          <w:sz w:val="32"/>
          <w:szCs w:val="32"/>
        </w:rPr>
        <w:t>个项目，</w:t>
      </w:r>
      <w:r>
        <w:rPr>
          <w:rFonts w:hint="eastAsia" w:ascii="仿宋_GB2312" w:hAnsi="仿宋_GB2312" w:eastAsia="仿宋_GB2312" w:cs="仿宋_GB2312"/>
          <w:sz w:val="32"/>
          <w:szCs w:val="32"/>
          <w:highlight w:val="none"/>
        </w:rPr>
        <w:t>其</w:t>
      </w:r>
      <w:bookmarkStart w:id="0" w:name="_GoBack"/>
      <w:bookmarkEnd w:id="0"/>
      <w:r>
        <w:rPr>
          <w:rFonts w:hint="eastAsia" w:ascii="仿宋_GB2312" w:hAnsi="仿宋_GB2312" w:eastAsia="仿宋_GB2312" w:cs="仿宋_GB2312"/>
          <w:sz w:val="32"/>
          <w:szCs w:val="32"/>
          <w:highlight w:val="none"/>
        </w:rPr>
        <w:t>中：</w:t>
      </w:r>
      <w:r>
        <w:rPr>
          <w:rFonts w:hint="eastAsia" w:ascii="仿宋_GB2312" w:hAnsi="仿宋_GB2312" w:eastAsia="仿宋_GB2312" w:cs="仿宋_GB2312"/>
          <w:sz w:val="32"/>
          <w:szCs w:val="32"/>
          <w:highlight w:val="none"/>
          <w:lang w:eastAsia="zh-CN"/>
        </w:rPr>
        <w:t>考核办</w:t>
      </w:r>
      <w:r>
        <w:rPr>
          <w:rFonts w:hint="eastAsia" w:ascii="仿宋_GB2312" w:hAnsi="仿宋_GB2312" w:eastAsia="仿宋_GB2312" w:cs="仿宋_GB2312"/>
          <w:sz w:val="32"/>
          <w:szCs w:val="32"/>
          <w:highlight w:val="none"/>
        </w:rPr>
        <w:t>考核经费项目评价得分100分，档案管理经费项目评价得分</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rPr>
        <w:t>分，人才工作经费项目评价得分9</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分，党代表联络工作经费项目评价得分</w:t>
      </w:r>
      <w:r>
        <w:rPr>
          <w:rFonts w:hint="eastAsia" w:ascii="仿宋_GB2312" w:hAnsi="仿宋_GB2312" w:eastAsia="仿宋_GB2312" w:cs="仿宋_GB2312"/>
          <w:sz w:val="32"/>
          <w:szCs w:val="32"/>
          <w:highlight w:val="none"/>
          <w:lang w:val="en-US" w:eastAsia="zh-CN"/>
        </w:rPr>
        <w:t>98</w:t>
      </w:r>
      <w:r>
        <w:rPr>
          <w:rFonts w:hint="eastAsia" w:ascii="仿宋_GB2312" w:hAnsi="仿宋_GB2312" w:eastAsia="仿宋_GB2312" w:cs="仿宋_GB2312"/>
          <w:sz w:val="32"/>
          <w:szCs w:val="32"/>
          <w:highlight w:val="none"/>
        </w:rPr>
        <w:t>分，干部教育培训工作经费项目评价得分100分，远程教育站点网络</w:t>
      </w:r>
      <w:r>
        <w:rPr>
          <w:rFonts w:hint="eastAsia" w:ascii="仿宋_GB2312" w:hAnsi="仿宋_GB2312" w:eastAsia="仿宋_GB2312" w:cs="仿宋_GB2312"/>
          <w:sz w:val="32"/>
          <w:szCs w:val="32"/>
          <w:highlight w:val="none"/>
          <w:lang w:eastAsia="zh-CN"/>
        </w:rPr>
        <w:t>网络</w:t>
      </w:r>
      <w:r>
        <w:rPr>
          <w:rFonts w:hint="eastAsia" w:ascii="仿宋_GB2312" w:hAnsi="仿宋_GB2312" w:eastAsia="仿宋_GB2312" w:cs="仿宋_GB2312"/>
          <w:sz w:val="32"/>
          <w:szCs w:val="32"/>
          <w:highlight w:val="none"/>
        </w:rPr>
        <w:t>运行费项目评价得分9</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分，非公企业和社会组织党建工作经费项目评价得分9</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分，基层党组织</w:t>
      </w:r>
      <w:r>
        <w:rPr>
          <w:rFonts w:hint="eastAsia" w:ascii="仿宋_GB2312" w:hAnsi="仿宋_GB2312" w:eastAsia="仿宋_GB2312" w:cs="仿宋_GB2312"/>
          <w:sz w:val="32"/>
          <w:szCs w:val="32"/>
          <w:highlight w:val="none"/>
          <w:lang w:eastAsia="zh-CN"/>
        </w:rPr>
        <w:t>活动</w:t>
      </w:r>
      <w:r>
        <w:rPr>
          <w:rFonts w:hint="eastAsia" w:ascii="仿宋_GB2312" w:hAnsi="仿宋_GB2312" w:eastAsia="仿宋_GB2312" w:cs="仿宋_GB2312"/>
          <w:sz w:val="32"/>
          <w:szCs w:val="32"/>
          <w:highlight w:val="none"/>
        </w:rPr>
        <w:t>经费项目评价得分100分，数字化运行维护费项目评价得分</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rPr>
        <w:t>分，干部工资管理系统运行维护费评价得分</w:t>
      </w:r>
      <w:r>
        <w:rPr>
          <w:rFonts w:hint="eastAsia" w:ascii="仿宋_GB2312" w:hAnsi="仿宋_GB2312" w:eastAsia="仿宋_GB2312" w:cs="仿宋_GB2312"/>
          <w:sz w:val="32"/>
          <w:szCs w:val="32"/>
          <w:highlight w:val="none"/>
          <w:lang w:val="en-US" w:eastAsia="zh-CN"/>
        </w:rPr>
        <w:t>99</w:t>
      </w:r>
      <w:r>
        <w:rPr>
          <w:rFonts w:hint="eastAsia" w:ascii="仿宋_GB2312" w:hAnsi="仿宋_GB2312" w:eastAsia="仿宋_GB2312" w:cs="仿宋_GB2312"/>
          <w:sz w:val="32"/>
          <w:szCs w:val="32"/>
          <w:highlight w:val="none"/>
        </w:rPr>
        <w:t>分，拔尖人才体检经费项目评价得分</w:t>
      </w:r>
      <w:r>
        <w:rPr>
          <w:rFonts w:hint="eastAsia" w:ascii="仿宋_GB2312" w:hAnsi="仿宋_GB2312" w:eastAsia="仿宋_GB2312" w:cs="仿宋_GB2312"/>
          <w:sz w:val="32"/>
          <w:szCs w:val="32"/>
          <w:highlight w:val="none"/>
          <w:lang w:val="en-US" w:eastAsia="zh-CN"/>
        </w:rPr>
        <w:t>99</w:t>
      </w:r>
      <w:r>
        <w:rPr>
          <w:rFonts w:hint="eastAsia" w:ascii="仿宋_GB2312" w:hAnsi="仿宋_GB2312" w:eastAsia="仿宋_GB2312" w:cs="仿宋_GB2312"/>
          <w:sz w:val="32"/>
          <w:szCs w:val="32"/>
          <w:highlight w:val="none"/>
        </w:rPr>
        <w:t>分，拔尖人才津贴经费项目评价得分</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rPr>
        <w:t>分，农村党组织书记体检经费项目评价得分</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rPr>
        <w:t>分，</w:t>
      </w:r>
      <w:r>
        <w:rPr>
          <w:rFonts w:hint="eastAsia" w:ascii="仿宋_GB2312" w:hAnsi="仿宋_GB2312" w:eastAsia="仿宋_GB2312" w:cs="仿宋_GB2312"/>
          <w:sz w:val="32"/>
          <w:szCs w:val="32"/>
          <w:highlight w:val="none"/>
          <w:lang w:val="en-US" w:eastAsia="zh-CN"/>
        </w:rPr>
        <w:t>2024年下派</w:t>
      </w:r>
      <w:r>
        <w:rPr>
          <w:rFonts w:hint="eastAsia" w:ascii="仿宋_GB2312" w:hAnsi="仿宋_GB2312" w:eastAsia="仿宋_GB2312" w:cs="仿宋_GB2312"/>
          <w:sz w:val="32"/>
          <w:szCs w:val="32"/>
          <w:highlight w:val="none"/>
        </w:rPr>
        <w:t>选调生到村工作</w:t>
      </w:r>
      <w:r>
        <w:rPr>
          <w:rFonts w:hint="eastAsia" w:ascii="仿宋_GB2312" w:hAnsi="仿宋_GB2312" w:eastAsia="仿宋_GB2312" w:cs="仿宋_GB2312"/>
          <w:sz w:val="32"/>
          <w:szCs w:val="32"/>
          <w:highlight w:val="none"/>
          <w:lang w:eastAsia="zh-CN"/>
        </w:rPr>
        <w:t>中央财政</w:t>
      </w:r>
      <w:r>
        <w:rPr>
          <w:rFonts w:hint="eastAsia" w:ascii="仿宋_GB2312" w:hAnsi="仿宋_GB2312" w:eastAsia="仿宋_GB2312" w:cs="仿宋_GB2312"/>
          <w:sz w:val="32"/>
          <w:szCs w:val="32"/>
          <w:highlight w:val="none"/>
        </w:rPr>
        <w:t>补助资金 冀财行[202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88</w:t>
      </w:r>
      <w:r>
        <w:rPr>
          <w:rFonts w:hint="eastAsia" w:ascii="仿宋_GB2312" w:hAnsi="仿宋_GB2312" w:eastAsia="仿宋_GB2312" w:cs="仿宋_GB2312"/>
          <w:sz w:val="32"/>
          <w:szCs w:val="32"/>
          <w:highlight w:val="none"/>
        </w:rPr>
        <w:t>号项目评价得分</w:t>
      </w:r>
      <w:r>
        <w:rPr>
          <w:rFonts w:hint="eastAsia" w:ascii="仿宋_GB2312" w:hAnsi="仿宋_GB2312" w:eastAsia="仿宋_GB2312" w:cs="仿宋_GB2312"/>
          <w:sz w:val="32"/>
          <w:szCs w:val="32"/>
          <w:highlight w:val="none"/>
          <w:lang w:val="en-US" w:eastAsia="zh-CN"/>
        </w:rPr>
        <w:t>99</w:t>
      </w:r>
      <w:r>
        <w:rPr>
          <w:rFonts w:hint="eastAsia" w:ascii="仿宋_GB2312" w:hAnsi="仿宋_GB2312" w:eastAsia="仿宋_GB2312" w:cs="仿宋_GB2312"/>
          <w:sz w:val="32"/>
          <w:szCs w:val="32"/>
          <w:highlight w:val="none"/>
        </w:rPr>
        <w:t>分</w:t>
      </w:r>
      <w:r>
        <w:rPr>
          <w:rFonts w:hint="eastAsia" w:ascii="仿宋_GB2312" w:hAnsi="仿宋_GB2312" w:eastAsia="仿宋_GB2312" w:cs="仿宋_GB2312"/>
          <w:sz w:val="32"/>
          <w:szCs w:val="32"/>
          <w:highlight w:val="none"/>
          <w:lang w:eastAsia="zh-CN"/>
        </w:rPr>
        <w:t>，农村党建经费</w:t>
      </w:r>
      <w:r>
        <w:rPr>
          <w:rFonts w:hint="eastAsia" w:ascii="仿宋_GB2312" w:hAnsi="仿宋_GB2312" w:eastAsia="仿宋_GB2312" w:cs="仿宋_GB2312"/>
          <w:sz w:val="32"/>
          <w:szCs w:val="32"/>
          <w:highlight w:val="none"/>
        </w:rPr>
        <w:t>评价得分</w:t>
      </w:r>
      <w:r>
        <w:rPr>
          <w:rFonts w:hint="eastAsia" w:ascii="仿宋_GB2312" w:hAnsi="仿宋_GB2312" w:eastAsia="仿宋_GB2312" w:cs="仿宋_GB2312"/>
          <w:sz w:val="32"/>
          <w:szCs w:val="32"/>
          <w:highlight w:val="none"/>
          <w:lang w:val="en-US" w:eastAsia="zh-CN"/>
        </w:rPr>
        <w:t>96</w:t>
      </w:r>
      <w:r>
        <w:rPr>
          <w:rFonts w:hint="eastAsia" w:ascii="仿宋_GB2312" w:hAnsi="仿宋_GB2312" w:eastAsia="仿宋_GB2312" w:cs="仿宋_GB2312"/>
          <w:sz w:val="32"/>
          <w:szCs w:val="32"/>
          <w:highlight w:val="none"/>
        </w:rPr>
        <w:t>分，</w:t>
      </w:r>
      <w:r>
        <w:rPr>
          <w:rFonts w:hint="eastAsia" w:ascii="仿宋_GB2312" w:hAnsi="仿宋_GB2312" w:eastAsia="仿宋_GB2312" w:cs="仿宋_GB2312"/>
          <w:sz w:val="32"/>
          <w:szCs w:val="32"/>
          <w:highlight w:val="none"/>
          <w:lang w:val="en-US" w:eastAsia="zh-CN"/>
        </w:rPr>
        <w:t>2024年下派</w:t>
      </w:r>
      <w:r>
        <w:rPr>
          <w:rFonts w:hint="eastAsia" w:ascii="仿宋_GB2312" w:hAnsi="仿宋_GB2312" w:eastAsia="仿宋_GB2312" w:cs="仿宋_GB2312"/>
          <w:sz w:val="32"/>
          <w:szCs w:val="32"/>
          <w:highlight w:val="none"/>
        </w:rPr>
        <w:t>选调生到村工作</w:t>
      </w:r>
      <w:r>
        <w:rPr>
          <w:rFonts w:hint="eastAsia" w:ascii="仿宋_GB2312" w:hAnsi="仿宋_GB2312" w:eastAsia="仿宋_GB2312" w:cs="仿宋_GB2312"/>
          <w:sz w:val="32"/>
          <w:szCs w:val="32"/>
          <w:highlight w:val="none"/>
          <w:lang w:eastAsia="zh-CN"/>
        </w:rPr>
        <w:t>中央财政</w:t>
      </w:r>
      <w:r>
        <w:rPr>
          <w:rFonts w:hint="eastAsia" w:ascii="仿宋_GB2312" w:hAnsi="仿宋_GB2312" w:eastAsia="仿宋_GB2312" w:cs="仿宋_GB2312"/>
          <w:sz w:val="32"/>
          <w:szCs w:val="32"/>
          <w:highlight w:val="none"/>
        </w:rPr>
        <w:t>补助资金 冀财行[202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83</w:t>
      </w:r>
      <w:r>
        <w:rPr>
          <w:rFonts w:hint="eastAsia" w:ascii="仿宋_GB2312" w:hAnsi="仿宋_GB2312" w:eastAsia="仿宋_GB2312" w:cs="仿宋_GB2312"/>
          <w:sz w:val="32"/>
          <w:szCs w:val="32"/>
          <w:highlight w:val="none"/>
        </w:rPr>
        <w:t>号项目评价得分</w:t>
      </w:r>
      <w:r>
        <w:rPr>
          <w:rFonts w:hint="eastAsia" w:ascii="仿宋_GB2312" w:hAnsi="仿宋_GB2312" w:eastAsia="仿宋_GB2312" w:cs="仿宋_GB2312"/>
          <w:sz w:val="32"/>
          <w:szCs w:val="32"/>
          <w:highlight w:val="none"/>
          <w:lang w:val="en-US" w:eastAsia="zh-CN"/>
        </w:rPr>
        <w:t>96</w:t>
      </w:r>
      <w:r>
        <w:rPr>
          <w:rFonts w:hint="eastAsia" w:ascii="仿宋_GB2312" w:hAnsi="仿宋_GB2312" w:eastAsia="仿宋_GB2312" w:cs="仿宋_GB2312"/>
          <w:sz w:val="32"/>
          <w:szCs w:val="32"/>
          <w:highlight w:val="none"/>
        </w:rPr>
        <w:t>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2025年下派</w:t>
      </w:r>
      <w:r>
        <w:rPr>
          <w:rFonts w:hint="eastAsia" w:ascii="仿宋_GB2312" w:hAnsi="仿宋_GB2312" w:eastAsia="仿宋_GB2312" w:cs="仿宋_GB2312"/>
          <w:sz w:val="32"/>
          <w:szCs w:val="32"/>
          <w:highlight w:val="none"/>
        </w:rPr>
        <w:t>选调生到村工作</w:t>
      </w:r>
      <w:r>
        <w:rPr>
          <w:rFonts w:hint="eastAsia" w:ascii="仿宋_GB2312" w:hAnsi="仿宋_GB2312" w:eastAsia="仿宋_GB2312" w:cs="仿宋_GB2312"/>
          <w:sz w:val="32"/>
          <w:szCs w:val="32"/>
          <w:highlight w:val="none"/>
          <w:lang w:eastAsia="zh-CN"/>
        </w:rPr>
        <w:t>中央财政</w:t>
      </w:r>
      <w:r>
        <w:rPr>
          <w:rFonts w:hint="eastAsia" w:ascii="仿宋_GB2312" w:hAnsi="仿宋_GB2312" w:eastAsia="仿宋_GB2312" w:cs="仿宋_GB2312"/>
          <w:sz w:val="32"/>
          <w:szCs w:val="32"/>
          <w:highlight w:val="none"/>
        </w:rPr>
        <w:t>补助资金 冀财行[202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85</w:t>
      </w:r>
      <w:r>
        <w:rPr>
          <w:rFonts w:hint="eastAsia" w:ascii="仿宋_GB2312" w:hAnsi="仿宋_GB2312" w:eastAsia="仿宋_GB2312" w:cs="仿宋_GB2312"/>
          <w:sz w:val="32"/>
          <w:szCs w:val="32"/>
          <w:highlight w:val="none"/>
        </w:rPr>
        <w:t>号项目评价得分</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2025年下派</w:t>
      </w:r>
      <w:r>
        <w:rPr>
          <w:rFonts w:hint="eastAsia" w:ascii="仿宋_GB2312" w:hAnsi="仿宋_GB2312" w:eastAsia="仿宋_GB2312" w:cs="仿宋_GB2312"/>
          <w:sz w:val="32"/>
          <w:szCs w:val="32"/>
          <w:highlight w:val="none"/>
        </w:rPr>
        <w:t>选调生到村工作</w:t>
      </w:r>
      <w:r>
        <w:rPr>
          <w:rFonts w:hint="eastAsia" w:ascii="仿宋_GB2312" w:hAnsi="仿宋_GB2312" w:eastAsia="仿宋_GB2312" w:cs="仿宋_GB2312"/>
          <w:sz w:val="32"/>
          <w:szCs w:val="32"/>
          <w:highlight w:val="none"/>
          <w:lang w:eastAsia="zh-CN"/>
        </w:rPr>
        <w:t>中央财政</w:t>
      </w:r>
      <w:r>
        <w:rPr>
          <w:rFonts w:hint="eastAsia" w:ascii="仿宋_GB2312" w:hAnsi="仿宋_GB2312" w:eastAsia="仿宋_GB2312" w:cs="仿宋_GB2312"/>
          <w:sz w:val="32"/>
          <w:szCs w:val="32"/>
          <w:highlight w:val="none"/>
        </w:rPr>
        <w:t>补助资金 冀财行[202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83</w:t>
      </w:r>
      <w:r>
        <w:rPr>
          <w:rFonts w:hint="eastAsia" w:ascii="仿宋_GB2312" w:hAnsi="仿宋_GB2312" w:eastAsia="仿宋_GB2312" w:cs="仿宋_GB2312"/>
          <w:sz w:val="32"/>
          <w:szCs w:val="32"/>
          <w:highlight w:val="none"/>
        </w:rPr>
        <w:t>号项目评价得分</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农村党员档案集中管理经费综合得分100分，《中共元氏县组织史资料》（第八卷）编纂经费综合得分37分，干部档案管理信息系统国产化改造项目资金综合得分100分，</w:t>
      </w:r>
      <w:r>
        <w:rPr>
          <w:rFonts w:hint="eastAsia" w:ascii="仿宋_GB2312" w:hAnsi="仿宋_GB2312" w:eastAsia="仿宋_GB2312" w:cs="仿宋_GB2312"/>
          <w:sz w:val="32"/>
          <w:szCs w:val="32"/>
          <w:highlight w:val="none"/>
        </w:rPr>
        <w:t>综合绩效评价得分</w:t>
      </w:r>
      <w:r>
        <w:rPr>
          <w:rFonts w:hint="eastAsia" w:ascii="仿宋_GB2312" w:hAnsi="仿宋_GB2312" w:eastAsia="仿宋_GB2312" w:cs="仿宋_GB2312"/>
          <w:sz w:val="32"/>
          <w:szCs w:val="32"/>
          <w:highlight w:val="none"/>
          <w:lang w:val="en-US" w:eastAsia="zh-CN"/>
        </w:rPr>
        <w:t>86.19</w:t>
      </w:r>
      <w:r>
        <w:rPr>
          <w:rFonts w:hint="eastAsia" w:ascii="仿宋_GB2312" w:hAnsi="仿宋_GB2312" w:eastAsia="仿宋_GB2312" w:cs="仿宋_GB2312"/>
          <w:sz w:val="32"/>
          <w:szCs w:val="32"/>
          <w:highlight w:val="none"/>
        </w:rPr>
        <w:t>分，综合绩效评价等级为“优”。</w:t>
      </w:r>
    </w:p>
    <w:p w14:paraId="0A17C28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5D52425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 w:hAnsi="楷体" w:eastAsia="楷体"/>
          <w:bCs/>
          <w:sz w:val="32"/>
          <w:szCs w:val="32"/>
        </w:rPr>
        <w:t>（一）存在的主要问题</w:t>
      </w:r>
    </w:p>
    <w:p w14:paraId="41ABC41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bCs/>
          <w:sz w:val="32"/>
          <w:szCs w:val="32"/>
        </w:rPr>
      </w:pPr>
      <w:r>
        <w:rPr>
          <w:rFonts w:hint="eastAsia" w:ascii="仿宋_GB2312" w:eastAsia="仿宋_GB2312" w:cs="DengXian-Regular"/>
          <w:sz w:val="32"/>
          <w:szCs w:val="32"/>
        </w:rPr>
        <w:t>从绩效自评结果来看，部门年初绩效目标设定质量较好，清晰明确，但有些存在一定片面性，具体的绩效指标设定不够全面完整、科学合理，可操作性不强，绩效标准也不够恰当适宜，评价难以用客观数据显示，主要原因是有些项目的不确定性，造成绩效指标难以用数据准确表达，难以精准的体现社会效益和经济效益。</w:t>
      </w:r>
    </w:p>
    <w:p w14:paraId="7F8583EE">
      <w:pPr>
        <w:keepNext w:val="0"/>
        <w:keepLines w:val="0"/>
        <w:pageBreakBefore w:val="0"/>
        <w:widowControl w:val="0"/>
        <w:numPr>
          <w:ilvl w:val="0"/>
          <w:numId w:val="3"/>
        </w:numPr>
        <w:kinsoku/>
        <w:wordWrap/>
        <w:overflowPunct/>
        <w:topLinePunct w:val="0"/>
        <w:autoSpaceDE/>
        <w:autoSpaceDN/>
        <w:bidi w:val="0"/>
        <w:spacing w:line="560" w:lineRule="exact"/>
        <w:ind w:left="0" w:leftChars="0" w:firstLine="640" w:firstLineChars="200"/>
        <w:textAlignment w:val="auto"/>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727E5B0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针对存在的问题进一步细化部门项目指标，提高绩效指标设置的科学性，项目绩效评价指标做到详细可操作，更加合理地安排预算资金，减少预算调整事项。</w:t>
      </w:r>
    </w:p>
    <w:p w14:paraId="3F9CAB8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制定如下整改措施：一是加强预算执行的计划性，提高部门支出进度的均衡程度；二是加强对项目预算资金支出的监督检查工作，确保资金使用合法合规三是加强对财务人员的培训工作，同时及时了解存在的问题，有疑问事项及时与财政等部门沟通解决，提高财务管理工作的规范性。四是加强项目资金和绩效目标指标的动态管理，持续改进。加大对单位预算项目管理工作的指导力度，及时了解项目情况，推进各预算单位工作任务的及时完成。</w:t>
      </w:r>
    </w:p>
    <w:p w14:paraId="1647E78C">
      <w:pPr>
        <w:keepNext w:val="0"/>
        <w:keepLines w:val="0"/>
        <w:pageBreakBefore w:val="0"/>
        <w:widowControl w:val="0"/>
        <w:kinsoku/>
        <w:wordWrap/>
        <w:overflowPunct/>
        <w:topLinePunct w:val="0"/>
        <w:autoSpaceDE/>
        <w:autoSpaceDN/>
        <w:bidi w:val="0"/>
        <w:spacing w:line="560" w:lineRule="exact"/>
        <w:ind w:firstLine="640" w:firstLineChars="200"/>
        <w:textAlignment w:val="auto"/>
      </w:pPr>
      <w:r>
        <w:rPr>
          <w:rFonts w:hint="eastAsia" w:ascii="仿宋_GB2312" w:hAnsi="仿宋_GB2312" w:eastAsia="仿宋_GB2312" w:cs="仿宋_GB2312"/>
          <w:sz w:val="32"/>
          <w:szCs w:val="32"/>
        </w:rPr>
        <w:t>借助这次项目评价，进一步加强对我部门预算的工作活动工作效果绩效考核工作，督促积极落实绩效目标，积极推动我部门各项工作不断向前发展。</w:t>
      </w:r>
    </w:p>
    <w:p w14:paraId="7798EE5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27A43FA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李辉</w:t>
      </w:r>
      <w:r>
        <w:rPr>
          <w:rFonts w:hint="eastAsia" w:ascii="仿宋_GB2312" w:eastAsia="仿宋_GB2312"/>
          <w:sz w:val="32"/>
          <w:szCs w:val="32"/>
        </w:rPr>
        <w:t>、中共元氏县委组织部、常务副部长</w:t>
      </w:r>
    </w:p>
    <w:p w14:paraId="07AFA61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王培</w:t>
      </w:r>
      <w:r>
        <w:rPr>
          <w:rFonts w:hint="eastAsia" w:ascii="仿宋_GB2312" w:eastAsia="仿宋_GB2312"/>
          <w:sz w:val="32"/>
          <w:szCs w:val="32"/>
        </w:rPr>
        <w:t>、中共元氏县委组织部、</w:t>
      </w:r>
      <w:r>
        <w:rPr>
          <w:rFonts w:hint="eastAsia" w:ascii="仿宋_GB2312" w:eastAsia="仿宋_GB2312"/>
          <w:sz w:val="32"/>
          <w:szCs w:val="32"/>
          <w:lang w:eastAsia="zh-CN"/>
        </w:rPr>
        <w:t>干部监督股股长</w:t>
      </w:r>
    </w:p>
    <w:p w14:paraId="6D85C58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rPr>
      </w:pPr>
    </w:p>
    <w:p w14:paraId="2893BAFB">
      <w:pPr>
        <w:keepNext w:val="0"/>
        <w:keepLines w:val="0"/>
        <w:pageBreakBefore w:val="0"/>
        <w:widowControl w:val="0"/>
        <w:kinsoku/>
        <w:wordWrap/>
        <w:overflowPunct/>
        <w:topLinePunct w:val="0"/>
        <w:autoSpaceDE/>
        <w:autoSpaceDN/>
        <w:bidi w:val="0"/>
        <w:spacing w:line="560" w:lineRule="exact"/>
        <w:ind w:firstLine="5120" w:firstLineChars="16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中共元氏县委组织部</w:t>
      </w:r>
    </w:p>
    <w:p w14:paraId="31FA6A08">
      <w:pPr>
        <w:keepNext w:val="0"/>
        <w:keepLines w:val="0"/>
        <w:pageBreakBefore w:val="0"/>
        <w:widowControl w:val="0"/>
        <w:kinsoku/>
        <w:wordWrap/>
        <w:overflowPunct/>
        <w:topLinePunct w:val="0"/>
        <w:autoSpaceDE/>
        <w:autoSpaceDN/>
        <w:bidi w:val="0"/>
        <w:spacing w:line="560" w:lineRule="exact"/>
        <w:ind w:firstLine="5440" w:firstLineChars="1700"/>
        <w:textAlignment w:val="auto"/>
        <w:rPr>
          <w:rFonts w:ascii="仿宋" w:hAnsi="仿宋" w:eastAsia="仿宋"/>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DengXian-Regular">
    <w:altName w:val="方正公文小标宋"/>
    <w:panose1 w:val="00000000000000000000"/>
    <w:charset w:val="00"/>
    <w:family w:val="auto"/>
    <w:pitch w:val="default"/>
    <w:sig w:usb0="00000000" w:usb1="00000000" w:usb2="00000010" w:usb3="00000000" w:csb0="00040001" w:csb1="00000000"/>
  </w:font>
  <w:font w:name="方正公文小标宋">
    <w:panose1 w:val="02000500000000000000"/>
    <w:charset w:val="86"/>
    <w:family w:val="auto"/>
    <w:pitch w:val="default"/>
    <w:sig w:usb0="A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B9C5E">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3897BE2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78DEE6"/>
    <w:multiLevelType w:val="singleLevel"/>
    <w:tmpl w:val="FB78DEE6"/>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B104CA"/>
    <w:rsid w:val="02106AB0"/>
    <w:rsid w:val="02B43A28"/>
    <w:rsid w:val="046F331E"/>
    <w:rsid w:val="05EC3746"/>
    <w:rsid w:val="07956271"/>
    <w:rsid w:val="09721397"/>
    <w:rsid w:val="0BB63BED"/>
    <w:rsid w:val="0EB97A43"/>
    <w:rsid w:val="0EBD2122"/>
    <w:rsid w:val="0F214EAE"/>
    <w:rsid w:val="11B71E6A"/>
    <w:rsid w:val="1AAF0063"/>
    <w:rsid w:val="1BE140DE"/>
    <w:rsid w:val="229E0014"/>
    <w:rsid w:val="248C197D"/>
    <w:rsid w:val="252959AF"/>
    <w:rsid w:val="26C81C56"/>
    <w:rsid w:val="277A6671"/>
    <w:rsid w:val="292D35B7"/>
    <w:rsid w:val="33EB6CFF"/>
    <w:rsid w:val="35A12947"/>
    <w:rsid w:val="37387040"/>
    <w:rsid w:val="3B625C0A"/>
    <w:rsid w:val="3CEE1963"/>
    <w:rsid w:val="42C41E76"/>
    <w:rsid w:val="436B78D3"/>
    <w:rsid w:val="4AA15B5C"/>
    <w:rsid w:val="4C9C27FE"/>
    <w:rsid w:val="512260B4"/>
    <w:rsid w:val="52BD6ACB"/>
    <w:rsid w:val="55537534"/>
    <w:rsid w:val="561A74F1"/>
    <w:rsid w:val="597244E8"/>
    <w:rsid w:val="5EB71C30"/>
    <w:rsid w:val="60407306"/>
    <w:rsid w:val="643B43F9"/>
    <w:rsid w:val="66AF0CE5"/>
    <w:rsid w:val="6AC537CF"/>
    <w:rsid w:val="6E5B14A6"/>
    <w:rsid w:val="711B255E"/>
    <w:rsid w:val="713F23B2"/>
    <w:rsid w:val="7325420C"/>
    <w:rsid w:val="7BB51E06"/>
    <w:rsid w:val="7C387F7C"/>
    <w:rsid w:val="7F2957A0"/>
    <w:rsid w:val="7F4ED9EA"/>
    <w:rsid w:val="7FE83423"/>
    <w:rsid w:val="F6A59BF7"/>
    <w:rsid w:val="FFBC587C"/>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afterLines="0" w:afterAutospacing="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2301</Words>
  <Characters>2364</Characters>
  <Lines>4</Lines>
  <Paragraphs>1</Paragraphs>
  <TotalTime>9</TotalTime>
  <ScaleCrop>false</ScaleCrop>
  <LinksUpToDate>false</LinksUpToDate>
  <CharactersWithSpaces>2373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赵点点</cp:lastModifiedBy>
  <cp:lastPrinted>2024-03-06T23:40:00Z</cp:lastPrinted>
  <dcterms:modified xsi:type="dcterms:W3CDTF">2026-05-13T07:39:44Z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eyJoZGlkIjoiMTgxN2UyODExMTMzMTg4NTJhNDM0ZTM3ZmYyYzc2NTUiLCJ1c2VySWQiOiI1OTYyNzAyMjcifQ==</vt:lpwstr>
  </property>
</Properties>
</file>