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EA7A27C">
      <w:pPr>
        <w:adjustRightInd w:val="0"/>
        <w:snapToGrid w:val="0"/>
        <w:spacing w:line="560" w:lineRule="exact"/>
        <w:rPr>
          <w:rFonts w:ascii="黑体" w:hAnsi="黑体" w:eastAsia="黑体"/>
          <w:sz w:val="32"/>
          <w:szCs w:val="32"/>
        </w:rPr>
      </w:pPr>
      <w:r>
        <w:rPr>
          <w:rFonts w:hint="eastAsia" w:ascii="黑体" w:hAnsi="黑体" w:eastAsia="黑体"/>
          <w:sz w:val="32"/>
          <w:szCs w:val="32"/>
        </w:rPr>
        <w:t>附件3：</w:t>
      </w:r>
    </w:p>
    <w:p w14:paraId="03C16CBA">
      <w:pPr>
        <w:spacing w:line="560" w:lineRule="exact"/>
        <w:jc w:val="center"/>
        <w:rPr>
          <w:rFonts w:ascii="宋体" w:hAnsi="宋体" w:cs="宋体"/>
          <w:b/>
          <w:bCs/>
          <w:sz w:val="44"/>
          <w:szCs w:val="44"/>
        </w:rPr>
      </w:pPr>
    </w:p>
    <w:p w14:paraId="49D138B4">
      <w:pPr>
        <w:spacing w:line="560" w:lineRule="exact"/>
        <w:jc w:val="center"/>
        <w:rPr>
          <w:rFonts w:hint="eastAsia" w:ascii="宋体" w:hAnsi="宋体" w:eastAsia="宋体" w:cs="宋体"/>
          <w:b/>
          <w:bCs/>
          <w:sz w:val="44"/>
          <w:szCs w:val="44"/>
          <w:lang w:eastAsia="zh-CN"/>
        </w:rPr>
      </w:pPr>
      <w:r>
        <w:rPr>
          <w:rFonts w:hint="eastAsia" w:ascii="宋体" w:hAnsi="宋体" w:cs="宋体"/>
          <w:b/>
          <w:bCs/>
          <w:sz w:val="44"/>
          <w:szCs w:val="44"/>
          <w:lang w:eastAsia="zh-CN"/>
        </w:rPr>
        <w:t>元氏县审计局</w:t>
      </w:r>
    </w:p>
    <w:p w14:paraId="5A0BA524">
      <w:pPr>
        <w:spacing w:line="560" w:lineRule="exact"/>
        <w:jc w:val="center"/>
        <w:rPr>
          <w:rFonts w:ascii="宋体" w:hAnsi="宋体" w:cs="宋体"/>
          <w:b/>
          <w:bCs/>
          <w:sz w:val="44"/>
          <w:szCs w:val="44"/>
        </w:rPr>
      </w:pPr>
      <w:r>
        <w:rPr>
          <w:rFonts w:hint="eastAsia" w:ascii="宋体" w:hAnsi="宋体" w:cs="宋体"/>
          <w:b/>
          <w:bCs/>
          <w:sz w:val="44"/>
          <w:szCs w:val="44"/>
        </w:rPr>
        <w:t>202</w:t>
      </w:r>
      <w:r>
        <w:rPr>
          <w:rFonts w:hint="eastAsia" w:ascii="宋体" w:hAnsi="宋体" w:cs="宋体"/>
          <w:b/>
          <w:bCs/>
          <w:sz w:val="44"/>
          <w:szCs w:val="44"/>
          <w:lang w:val="en-US" w:eastAsia="zh-CN"/>
        </w:rPr>
        <w:t>5</w:t>
      </w:r>
      <w:r>
        <w:rPr>
          <w:rFonts w:hint="eastAsia" w:ascii="宋体" w:hAnsi="宋体" w:cs="宋体"/>
          <w:b/>
          <w:bCs/>
          <w:sz w:val="44"/>
          <w:szCs w:val="44"/>
        </w:rPr>
        <w:t>年度整体支出绩效自评报告</w:t>
      </w:r>
    </w:p>
    <w:p w14:paraId="3888A7A9">
      <w:pPr>
        <w:spacing w:line="560" w:lineRule="exact"/>
        <w:jc w:val="center"/>
        <w:rPr>
          <w:rFonts w:ascii="华文楷体" w:eastAsia="华文楷体"/>
          <w:sz w:val="32"/>
          <w:szCs w:val="32"/>
        </w:rPr>
      </w:pPr>
    </w:p>
    <w:p w14:paraId="71BA2D68">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贯彻落实县委县政府《关于全面落实预算绩效管理的实施意见》（元发﹝2019﹞7号）文件精神，遵循“科学性、规范性、客观性和公正性”的原则，对</w:t>
      </w:r>
      <w:r>
        <w:rPr>
          <w:rFonts w:hint="eastAsia" w:ascii="仿宋" w:hAnsi="仿宋" w:eastAsia="仿宋"/>
          <w:sz w:val="32"/>
          <w:szCs w:val="32"/>
          <w:lang w:eastAsia="zh-CN"/>
        </w:rPr>
        <w:t>元氏县审计局</w:t>
      </w:r>
      <w:r>
        <w:rPr>
          <w:rFonts w:hint="eastAsia" w:ascii="仿宋" w:hAnsi="仿宋" w:eastAsia="仿宋"/>
          <w:sz w:val="32"/>
          <w:szCs w:val="32"/>
        </w:rPr>
        <w:t>202</w:t>
      </w:r>
      <w:r>
        <w:rPr>
          <w:rFonts w:hint="eastAsia" w:ascii="仿宋" w:hAnsi="仿宋" w:eastAsia="仿宋"/>
          <w:sz w:val="32"/>
          <w:szCs w:val="32"/>
          <w:lang w:val="en-US" w:eastAsia="zh-CN"/>
        </w:rPr>
        <w:t>5</w:t>
      </w:r>
      <w:r>
        <w:rPr>
          <w:rFonts w:hint="eastAsia" w:ascii="仿宋" w:hAnsi="仿宋" w:eastAsia="仿宋"/>
          <w:sz w:val="32"/>
          <w:szCs w:val="32"/>
        </w:rPr>
        <w:t>年整体支出情况实施了财政支出绩效自评价，形成本评价报告。</w:t>
      </w:r>
    </w:p>
    <w:p w14:paraId="4079ADCE">
      <w:pPr>
        <w:adjustRightInd w:val="0"/>
        <w:snapToGrid w:val="0"/>
        <w:spacing w:line="560" w:lineRule="exact"/>
        <w:ind w:firstLine="800" w:firstLineChars="250"/>
        <w:rPr>
          <w:rFonts w:ascii="黑体" w:hAnsi="黑体" w:eastAsia="黑体"/>
          <w:b/>
          <w:bCs/>
          <w:sz w:val="32"/>
          <w:szCs w:val="36"/>
        </w:rPr>
      </w:pPr>
      <w:r>
        <w:rPr>
          <w:rFonts w:hint="eastAsia" w:ascii="黑体" w:hAnsi="黑体" w:eastAsia="黑体"/>
          <w:sz w:val="32"/>
          <w:szCs w:val="32"/>
        </w:rPr>
        <w:t xml:space="preserve">    一、部门</w:t>
      </w:r>
      <w:r>
        <w:rPr>
          <w:rFonts w:hint="eastAsia" w:ascii="黑体" w:hAnsi="黑体" w:eastAsia="黑体"/>
          <w:sz w:val="32"/>
          <w:szCs w:val="36"/>
        </w:rPr>
        <w:t>基本情况</w:t>
      </w:r>
    </w:p>
    <w:p w14:paraId="789C64D4">
      <w:pPr>
        <w:adjustRightInd w:val="0"/>
        <w:snapToGrid w:val="0"/>
        <w:spacing w:line="560" w:lineRule="exact"/>
        <w:ind w:firstLine="643" w:firstLineChars="200"/>
        <w:rPr>
          <w:rFonts w:hint="eastAsia" w:ascii="仿宋" w:hAnsi="仿宋" w:eastAsia="仿宋" w:cs="楷体_GB2312"/>
          <w:b/>
          <w:bCs/>
          <w:sz w:val="32"/>
          <w:szCs w:val="32"/>
        </w:rPr>
      </w:pPr>
      <w:r>
        <w:rPr>
          <w:rFonts w:hint="eastAsia" w:ascii="仿宋" w:hAnsi="仿宋" w:eastAsia="仿宋" w:cs="楷体_GB2312"/>
          <w:b/>
          <w:bCs/>
          <w:sz w:val="32"/>
          <w:szCs w:val="32"/>
        </w:rPr>
        <w:t>（一）部门概况</w:t>
      </w:r>
    </w:p>
    <w:p w14:paraId="3C179CB9">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主要职能。</w:t>
      </w:r>
    </w:p>
    <w:p w14:paraId="7D5C4207">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（一）主管全县审计工作。负责对县政府财政收支和法律法规规定属于审计监督范围内的财务收支的真实、合法和效益进行审计监督，维护财政经济秩序，提高财政资金使用效益，促进廉政建设。</w:t>
      </w:r>
    </w:p>
    <w:p w14:paraId="7F0A98CC">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（二）贯彻执行国家有关审计工作的法律法规和方针政策。</w:t>
      </w:r>
    </w:p>
    <w:p w14:paraId="7C4D8D46">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（三）向县政府报告和向县政府有关部门通报审计情况，提出制定和完善有关政策、宏观调控措施的建议。</w:t>
      </w:r>
    </w:p>
    <w:p w14:paraId="46156CC8">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（四）依据《中华人民共和国审计法》等规定，直接进行审计。</w:t>
      </w:r>
    </w:p>
    <w:p w14:paraId="03617E1C">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（五）向县政府县长提交县级预算执行和其他财政收支情况的审计结果报告；受县政府委托向县人大常委会提出县级预算执行情况和其他财政收支审计工作报告。</w:t>
      </w:r>
    </w:p>
    <w:p w14:paraId="10CF86A8">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（六）组织实施对贯彻执行国家财经方针政策和宏观调控措施情况的行业审计、专项审计和审计调查。</w:t>
      </w:r>
    </w:p>
    <w:p w14:paraId="7BD055A0">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（七）对全县党政领导干部和国有企业及国有控股企业领导人员任期经济责任审计。</w:t>
      </w:r>
    </w:p>
    <w:p w14:paraId="52C3EDE8">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（八）组织实施对内部审计的指导与监督；监督社会审计组织的审计业务质量。</w:t>
      </w:r>
    </w:p>
    <w:p w14:paraId="34D2D700">
      <w:pPr>
        <w:adjustRightInd w:val="0"/>
        <w:snapToGrid w:val="0"/>
        <w:spacing w:line="560" w:lineRule="exact"/>
        <w:ind w:firstLine="640" w:firstLineChars="200"/>
        <w:rPr>
          <w:rFonts w:hint="eastAsia" w:ascii="仿宋_GB2312" w:eastAsia="仿宋_GB2312"/>
          <w:bCs/>
          <w:sz w:val="30"/>
          <w:szCs w:val="30"/>
        </w:rPr>
      </w:pPr>
      <w:r>
        <w:rPr>
          <w:rFonts w:hint="eastAsia" w:ascii="仿宋" w:hAnsi="仿宋" w:eastAsia="仿宋"/>
          <w:sz w:val="32"/>
          <w:szCs w:val="32"/>
        </w:rPr>
        <w:t>（九）承办县委、县政府交办的其他事项。</w:t>
      </w:r>
      <w:r>
        <w:rPr>
          <w:rFonts w:hint="eastAsia" w:ascii="仿宋_GB2312" w:eastAsia="仿宋_GB2312"/>
          <w:bCs/>
          <w:sz w:val="30"/>
          <w:szCs w:val="30"/>
        </w:rPr>
        <w:t xml:space="preserve"> </w:t>
      </w:r>
    </w:p>
    <w:p w14:paraId="00E5E98C">
      <w:pPr>
        <w:ind w:firstLine="640" w:firstLineChars="200"/>
        <w:jc w:val="center"/>
        <w:rPr>
          <w:rFonts w:hint="eastAsia" w:ascii="仿宋" w:hAnsi="仿宋" w:eastAsia="仿宋"/>
          <w:bCs/>
          <w:sz w:val="32"/>
          <w:szCs w:val="32"/>
        </w:rPr>
      </w:pPr>
      <w:r>
        <w:rPr>
          <w:rFonts w:hint="eastAsia" w:ascii="仿宋" w:hAnsi="仿宋" w:eastAsia="仿宋"/>
          <w:bCs/>
          <w:sz w:val="32"/>
          <w:szCs w:val="32"/>
        </w:rPr>
        <w:t>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14:paraId="06E908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3F47E1C7">
            <w:pPr>
              <w:pStyle w:val="7"/>
              <w:keepNext w:val="0"/>
              <w:keepLines w:val="0"/>
              <w:suppressLineNumbers w:val="0"/>
              <w:spacing w:beforeAutospacing="0" w:afterAutospacing="0"/>
              <w:ind w:left="0" w:right="0"/>
              <w:rPr>
                <w:rFonts w:hint="default"/>
              </w:rPr>
            </w:pPr>
            <w:r>
              <w:rPr>
                <w:rFonts w:hint="default"/>
              </w:rPr>
              <w:t>单位名称</w:t>
            </w:r>
          </w:p>
        </w:tc>
        <w:tc>
          <w:tcPr>
            <w:tcW w:w="1843" w:type="dxa"/>
            <w:vAlign w:val="center"/>
          </w:tcPr>
          <w:p w14:paraId="2A3CD8E5">
            <w:pPr>
              <w:pStyle w:val="7"/>
              <w:keepNext w:val="0"/>
              <w:keepLines w:val="0"/>
              <w:suppressLineNumbers w:val="0"/>
              <w:spacing w:beforeAutospacing="0" w:afterAutospacing="0"/>
              <w:ind w:left="0" w:right="0"/>
              <w:rPr>
                <w:rFonts w:hint="default"/>
              </w:rPr>
            </w:pPr>
            <w:r>
              <w:rPr>
                <w:rFonts w:hint="default"/>
              </w:rPr>
              <w:t>单位性质</w:t>
            </w:r>
          </w:p>
        </w:tc>
        <w:tc>
          <w:tcPr>
            <w:tcW w:w="2126" w:type="dxa"/>
            <w:vAlign w:val="center"/>
          </w:tcPr>
          <w:p w14:paraId="45818212">
            <w:pPr>
              <w:pStyle w:val="7"/>
              <w:keepNext w:val="0"/>
              <w:keepLines w:val="0"/>
              <w:suppressLineNumbers w:val="0"/>
              <w:spacing w:beforeAutospacing="0" w:afterAutospacing="0"/>
              <w:ind w:left="0" w:right="0"/>
              <w:rPr>
                <w:rFonts w:hint="default"/>
              </w:rPr>
            </w:pPr>
            <w:r>
              <w:rPr>
                <w:rFonts w:hint="default"/>
              </w:rPr>
              <w:t>单位规格</w:t>
            </w:r>
          </w:p>
        </w:tc>
        <w:tc>
          <w:tcPr>
            <w:tcW w:w="3827" w:type="dxa"/>
            <w:vAlign w:val="center"/>
          </w:tcPr>
          <w:p w14:paraId="27CDB8FF">
            <w:pPr>
              <w:pStyle w:val="7"/>
              <w:keepNext w:val="0"/>
              <w:keepLines w:val="0"/>
              <w:suppressLineNumbers w:val="0"/>
              <w:spacing w:beforeAutospacing="0" w:afterAutospacing="0"/>
              <w:ind w:left="0" w:right="0"/>
              <w:rPr>
                <w:rFonts w:hint="default"/>
              </w:rPr>
            </w:pPr>
            <w:r>
              <w:rPr>
                <w:rFonts w:hint="default"/>
              </w:rPr>
              <w:t>经费保障形式</w:t>
            </w:r>
          </w:p>
        </w:tc>
      </w:tr>
      <w:tr w14:paraId="2A9BE2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7F33C879">
            <w:pPr>
              <w:pStyle w:val="8"/>
              <w:keepNext w:val="0"/>
              <w:keepLines w:val="0"/>
              <w:suppressLineNumbers w:val="0"/>
              <w:spacing w:beforeAutospacing="0" w:afterAutospacing="0"/>
              <w:ind w:left="0" w:right="0"/>
              <w:rPr>
                <w:rFonts w:hint="default"/>
              </w:rPr>
            </w:pPr>
            <w:r>
              <w:rPr>
                <w:rFonts w:hint="default"/>
              </w:rPr>
              <w:t>元氏县</w:t>
            </w:r>
            <w:r>
              <w:rPr>
                <w:rFonts w:hint="eastAsia"/>
                <w:lang w:eastAsia="zh-CN"/>
              </w:rPr>
              <w:t>审计局</w:t>
            </w:r>
            <w:r>
              <w:rPr>
                <w:rFonts w:hint="default"/>
              </w:rPr>
              <w:t>本级</w:t>
            </w:r>
          </w:p>
        </w:tc>
        <w:tc>
          <w:tcPr>
            <w:tcW w:w="1843" w:type="dxa"/>
            <w:vAlign w:val="center"/>
          </w:tcPr>
          <w:p w14:paraId="77308AC1">
            <w:pPr>
              <w:pStyle w:val="9"/>
              <w:keepNext w:val="0"/>
              <w:keepLines w:val="0"/>
              <w:suppressLineNumbers w:val="0"/>
              <w:spacing w:beforeAutospacing="0" w:afterAutospacing="0"/>
              <w:ind w:left="0" w:right="0"/>
              <w:rPr>
                <w:rFonts w:hint="eastAsia" w:eastAsia="方正书宋_GBK"/>
                <w:lang w:eastAsia="zh-CN"/>
              </w:rPr>
            </w:pPr>
            <w:r>
              <w:rPr>
                <w:rFonts w:hint="eastAsia"/>
                <w:lang w:eastAsia="zh-CN"/>
              </w:rPr>
              <w:t>行政单位</w:t>
            </w:r>
          </w:p>
        </w:tc>
        <w:tc>
          <w:tcPr>
            <w:tcW w:w="2126" w:type="dxa"/>
            <w:vAlign w:val="center"/>
          </w:tcPr>
          <w:p w14:paraId="29F5C278">
            <w:pPr>
              <w:pStyle w:val="9"/>
              <w:keepNext w:val="0"/>
              <w:keepLines w:val="0"/>
              <w:suppressLineNumbers w:val="0"/>
              <w:spacing w:beforeAutospacing="0" w:afterAutospacing="0"/>
              <w:ind w:left="0" w:right="0"/>
              <w:rPr>
                <w:rFonts w:hint="default"/>
              </w:rPr>
            </w:pPr>
            <w:r>
              <w:rPr>
                <w:rFonts w:hint="default"/>
              </w:rPr>
              <w:t>正科级</w:t>
            </w:r>
          </w:p>
        </w:tc>
        <w:tc>
          <w:tcPr>
            <w:tcW w:w="3827" w:type="dxa"/>
            <w:vAlign w:val="center"/>
          </w:tcPr>
          <w:p w14:paraId="05A060D6">
            <w:pPr>
              <w:pStyle w:val="9"/>
              <w:keepNext w:val="0"/>
              <w:keepLines w:val="0"/>
              <w:suppressLineNumbers w:val="0"/>
              <w:spacing w:beforeAutospacing="0" w:afterAutospacing="0"/>
              <w:ind w:left="0" w:right="0"/>
              <w:rPr>
                <w:rFonts w:hint="eastAsia" w:eastAsia="方正书宋_GBK"/>
                <w:lang w:eastAsia="zh-CN"/>
              </w:rPr>
            </w:pPr>
            <w:r>
              <w:rPr>
                <w:rFonts w:hint="default"/>
              </w:rPr>
              <w:t>财政</w:t>
            </w:r>
            <w:r>
              <w:rPr>
                <w:rFonts w:hint="eastAsia"/>
                <w:lang w:eastAsia="zh-CN"/>
              </w:rPr>
              <w:t>拨款</w:t>
            </w:r>
          </w:p>
        </w:tc>
      </w:tr>
    </w:tbl>
    <w:p w14:paraId="6D6FF28F">
      <w:pPr>
        <w:numPr>
          <w:ilvl w:val="0"/>
          <w:numId w:val="1"/>
        </w:numPr>
        <w:snapToGrid w:val="0"/>
        <w:spacing w:line="520" w:lineRule="exact"/>
        <w:ind w:firstLine="640" w:firstLineChars="200"/>
        <w:rPr>
          <w:rFonts w:hint="eastAsia" w:ascii="仿宋_GB2312" w:hAnsi="仿宋" w:eastAsia="仿宋_GB2312"/>
          <w:sz w:val="32"/>
          <w:szCs w:val="32"/>
        </w:rPr>
      </w:pPr>
      <w:r>
        <w:rPr>
          <w:rFonts w:hint="eastAsia" w:ascii="仿宋_GB2312" w:hAnsi="仿宋" w:eastAsia="仿宋_GB2312"/>
          <w:sz w:val="32"/>
          <w:szCs w:val="32"/>
        </w:rPr>
        <w:t>人员情况</w:t>
      </w:r>
      <w:r>
        <w:rPr>
          <w:rFonts w:hint="eastAsia" w:ascii="仿宋_GB2312" w:hAnsi="仿宋" w:eastAsia="仿宋_GB2312"/>
          <w:sz w:val="32"/>
          <w:szCs w:val="32"/>
          <w:lang w:eastAsia="zh-CN"/>
        </w:rPr>
        <w:t>。</w:t>
      </w:r>
    </w:p>
    <w:p w14:paraId="3A2BAD8C">
      <w:pPr>
        <w:keepNext w:val="0"/>
        <w:keepLines w:val="0"/>
        <w:widowControl/>
        <w:numPr>
          <w:ilvl w:val="0"/>
          <w:numId w:val="0"/>
        </w:numPr>
        <w:suppressLineNumbers w:val="0"/>
        <w:spacing w:before="0" w:beforeAutospacing="0" w:after="0" w:afterAutospacing="0" w:line="252" w:lineRule="atLeast"/>
        <w:ind w:right="0" w:rightChars="0" w:firstLine="640" w:firstLineChars="200"/>
        <w:jc w:val="both"/>
        <w:rPr>
          <w:rFonts w:hint="eastAsia" w:ascii="仿宋" w:hAnsi="仿宋" w:eastAsia="仿宋"/>
          <w:bCs/>
          <w:sz w:val="32"/>
          <w:szCs w:val="32"/>
          <w:highlight w:val="none"/>
        </w:rPr>
      </w:pPr>
      <w:r>
        <w:rPr>
          <w:rFonts w:hint="eastAsia" w:ascii="仿宋_GB2312" w:hAnsi="仿宋" w:eastAsia="仿宋_GB2312" w:cs="仿宋"/>
          <w:color w:val="000000"/>
          <w:sz w:val="32"/>
          <w:szCs w:val="32"/>
          <w:lang w:val="en-US" w:eastAsia="zh-CN"/>
        </w:rPr>
        <w:t>2025</w:t>
      </w:r>
      <w:r>
        <w:rPr>
          <w:rFonts w:hint="eastAsia" w:ascii="仿宋_GB2312" w:hAnsi="仿宋" w:eastAsia="仿宋_GB2312" w:cs="仿宋"/>
          <w:color w:val="000000"/>
          <w:sz w:val="32"/>
          <w:szCs w:val="32"/>
        </w:rPr>
        <w:t>年末实有人数</w:t>
      </w:r>
      <w:r>
        <w:rPr>
          <w:rFonts w:hint="eastAsia" w:ascii="仿宋_GB2312" w:hAnsi="仿宋" w:eastAsia="仿宋_GB2312" w:cs="仿宋"/>
          <w:color w:val="000000"/>
          <w:sz w:val="32"/>
          <w:szCs w:val="32"/>
          <w:lang w:val="en-US" w:eastAsia="zh-CN"/>
        </w:rPr>
        <w:t>14</w:t>
      </w:r>
      <w:r>
        <w:rPr>
          <w:rFonts w:hint="eastAsia" w:ascii="仿宋_GB2312" w:hAnsi="仿宋" w:eastAsia="仿宋_GB2312" w:cs="仿宋"/>
          <w:color w:val="000000"/>
          <w:sz w:val="32"/>
          <w:szCs w:val="32"/>
        </w:rPr>
        <w:t>人，在职人员</w:t>
      </w:r>
      <w:r>
        <w:rPr>
          <w:rFonts w:hint="eastAsia" w:ascii="仿宋_GB2312" w:hAnsi="仿宋" w:eastAsia="仿宋_GB2312" w:cs="仿宋"/>
          <w:color w:val="000000"/>
          <w:sz w:val="32"/>
          <w:szCs w:val="32"/>
          <w:lang w:val="en-US" w:eastAsia="zh-CN"/>
        </w:rPr>
        <w:t>14</w:t>
      </w:r>
      <w:r>
        <w:rPr>
          <w:rFonts w:hint="eastAsia" w:ascii="仿宋_GB2312" w:hAnsi="仿宋" w:eastAsia="仿宋_GB2312" w:cs="仿宋"/>
          <w:color w:val="000000"/>
          <w:sz w:val="32"/>
          <w:szCs w:val="32"/>
        </w:rPr>
        <w:t>人，退休</w:t>
      </w:r>
      <w:r>
        <w:rPr>
          <w:rFonts w:hint="eastAsia" w:ascii="仿宋_GB2312" w:hAnsi="仿宋" w:eastAsia="仿宋_GB2312" w:cs="仿宋"/>
          <w:color w:val="000000"/>
          <w:sz w:val="32"/>
          <w:szCs w:val="32"/>
          <w:lang w:val="en-US" w:eastAsia="zh-CN"/>
        </w:rPr>
        <w:t>12</w:t>
      </w:r>
      <w:r>
        <w:rPr>
          <w:rFonts w:hint="eastAsia" w:ascii="仿宋_GB2312" w:hAnsi="仿宋" w:eastAsia="仿宋_GB2312" w:cs="仿宋"/>
          <w:color w:val="000000"/>
          <w:sz w:val="32"/>
          <w:szCs w:val="32"/>
        </w:rPr>
        <w:t>人；</w:t>
      </w:r>
      <w:r>
        <w:rPr>
          <w:rFonts w:hint="eastAsia" w:ascii="仿宋" w:hAnsi="仿宋" w:eastAsia="仿宋"/>
          <w:bCs/>
          <w:sz w:val="32"/>
          <w:szCs w:val="32"/>
          <w:highlight w:val="none"/>
        </w:rPr>
        <w:t>遗属</w:t>
      </w:r>
      <w:r>
        <w:rPr>
          <w:rFonts w:hint="eastAsia" w:ascii="仿宋" w:hAnsi="仿宋" w:eastAsia="仿宋"/>
          <w:bCs/>
          <w:sz w:val="32"/>
          <w:szCs w:val="32"/>
          <w:highlight w:val="none"/>
          <w:lang w:val="en-US" w:eastAsia="zh-CN"/>
        </w:rPr>
        <w:t>5</w:t>
      </w:r>
      <w:r>
        <w:rPr>
          <w:rFonts w:hint="eastAsia" w:ascii="仿宋" w:hAnsi="仿宋" w:eastAsia="仿宋"/>
          <w:bCs/>
          <w:sz w:val="32"/>
          <w:szCs w:val="32"/>
          <w:highlight w:val="none"/>
        </w:rPr>
        <w:t>人，公务用车</w:t>
      </w:r>
      <w:r>
        <w:rPr>
          <w:rFonts w:hint="eastAsia" w:ascii="仿宋" w:hAnsi="仿宋" w:eastAsia="仿宋"/>
          <w:bCs/>
          <w:sz w:val="32"/>
          <w:szCs w:val="32"/>
          <w:highlight w:val="none"/>
          <w:lang w:val="en-US" w:eastAsia="zh-CN"/>
        </w:rPr>
        <w:t>1</w:t>
      </w:r>
      <w:r>
        <w:rPr>
          <w:rFonts w:hint="eastAsia" w:ascii="仿宋" w:hAnsi="仿宋" w:eastAsia="仿宋"/>
          <w:bCs/>
          <w:sz w:val="32"/>
          <w:szCs w:val="32"/>
          <w:highlight w:val="none"/>
        </w:rPr>
        <w:t>辆。</w:t>
      </w:r>
    </w:p>
    <w:p w14:paraId="489F2ECF">
      <w:pPr>
        <w:keepNext w:val="0"/>
        <w:keepLines w:val="0"/>
        <w:widowControl/>
        <w:numPr>
          <w:ilvl w:val="0"/>
          <w:numId w:val="0"/>
        </w:numPr>
        <w:suppressLineNumbers w:val="0"/>
        <w:spacing w:before="0" w:beforeAutospacing="0" w:after="0" w:afterAutospacing="0" w:line="252" w:lineRule="atLeast"/>
        <w:ind w:right="0" w:rightChars="0" w:firstLine="640" w:firstLineChars="200"/>
        <w:jc w:val="both"/>
        <w:rPr>
          <w:rFonts w:hint="eastAsia" w:ascii="仿宋" w:hAnsi="仿宋" w:eastAsia="仿宋"/>
          <w:bCs/>
          <w:sz w:val="32"/>
          <w:szCs w:val="32"/>
          <w:highlight w:val="none"/>
          <w:lang w:val="en-US" w:eastAsia="zh-CN"/>
        </w:rPr>
      </w:pPr>
      <w:r>
        <w:rPr>
          <w:rFonts w:hint="eastAsia" w:ascii="仿宋" w:hAnsi="仿宋" w:eastAsia="仿宋"/>
          <w:bCs/>
          <w:sz w:val="32"/>
          <w:szCs w:val="32"/>
          <w:highlight w:val="none"/>
          <w:lang w:val="en-US" w:eastAsia="zh-CN"/>
        </w:rPr>
        <w:t>4.资产情况。</w:t>
      </w:r>
    </w:p>
    <w:p w14:paraId="23194D0C">
      <w:pPr>
        <w:keepNext w:val="0"/>
        <w:keepLines w:val="0"/>
        <w:widowControl/>
        <w:numPr>
          <w:ilvl w:val="0"/>
          <w:numId w:val="0"/>
        </w:numPr>
        <w:suppressLineNumbers w:val="0"/>
        <w:spacing w:before="0" w:beforeAutospacing="0" w:after="0" w:afterAutospacing="0" w:line="252" w:lineRule="atLeast"/>
        <w:ind w:right="0" w:rightChars="0" w:firstLine="640" w:firstLineChars="200"/>
        <w:jc w:val="both"/>
        <w:rPr>
          <w:rFonts w:hint="default" w:ascii="仿宋" w:hAnsi="仿宋" w:eastAsia="仿宋"/>
          <w:bCs/>
          <w:sz w:val="32"/>
          <w:szCs w:val="32"/>
          <w:highlight w:val="none"/>
          <w:lang w:val="en-US" w:eastAsia="zh-CN"/>
        </w:rPr>
      </w:pPr>
      <w:r>
        <w:rPr>
          <w:rFonts w:hint="eastAsia" w:ascii="仿宋" w:hAnsi="仿宋" w:eastAsia="仿宋" w:cs="仿宋"/>
          <w:sz w:val="32"/>
          <w:szCs w:val="32"/>
          <w:lang w:val="en-US" w:eastAsia="zh-CN"/>
        </w:rPr>
        <w:t>我部门固定资产</w:t>
      </w:r>
      <w:r>
        <w:rPr>
          <w:rFonts w:hint="eastAsia" w:ascii="仿宋" w:hAnsi="仿宋" w:eastAsia="仿宋" w:cs="仿宋"/>
          <w:color w:val="auto"/>
          <w:sz w:val="32"/>
          <w:szCs w:val="32"/>
          <w:lang w:val="en-US" w:eastAsia="zh-CN"/>
        </w:rPr>
        <w:t>146.94</w:t>
      </w:r>
      <w:r>
        <w:rPr>
          <w:rFonts w:hint="eastAsia" w:ascii="仿宋" w:hAnsi="仿宋" w:eastAsia="仿宋" w:cs="仿宋"/>
          <w:sz w:val="32"/>
          <w:szCs w:val="32"/>
          <w:lang w:val="en-US" w:eastAsia="zh-CN"/>
        </w:rPr>
        <w:t>万元。</w:t>
      </w:r>
    </w:p>
    <w:p w14:paraId="7D86D026">
      <w:pPr>
        <w:numPr>
          <w:ilvl w:val="0"/>
          <w:numId w:val="2"/>
        </w:numPr>
        <w:adjustRightInd w:val="0"/>
        <w:snapToGrid w:val="0"/>
        <w:spacing w:line="560" w:lineRule="exact"/>
        <w:ind w:firstLine="643" w:firstLineChars="200"/>
        <w:rPr>
          <w:rFonts w:hint="eastAsia" w:ascii="仿宋" w:hAnsi="仿宋" w:eastAsia="仿宋" w:cs="楷体_GB2312"/>
          <w:b/>
          <w:bCs/>
          <w:sz w:val="32"/>
          <w:szCs w:val="32"/>
        </w:rPr>
      </w:pPr>
      <w:r>
        <w:rPr>
          <w:rFonts w:hint="eastAsia" w:ascii="仿宋" w:hAnsi="仿宋" w:eastAsia="仿宋" w:cs="楷体_GB2312"/>
          <w:b/>
          <w:bCs/>
          <w:sz w:val="32"/>
          <w:szCs w:val="32"/>
        </w:rPr>
        <w:t>部门收支预决算情况</w:t>
      </w:r>
    </w:p>
    <w:p w14:paraId="5631EBD2">
      <w:pPr>
        <w:snapToGrid w:val="0"/>
        <w:spacing w:line="520" w:lineRule="exact"/>
        <w:ind w:firstLine="640" w:firstLineChars="200"/>
        <w:rPr>
          <w:rFonts w:hint="default" w:ascii="仿宋" w:hAnsi="仿宋" w:eastAsia="仿宋" w:cs="仿宋"/>
          <w:sz w:val="32"/>
          <w:szCs w:val="32"/>
          <w:lang w:val="en-US" w:eastAsia="zh-CN"/>
        </w:rPr>
      </w:pPr>
      <w:r>
        <w:rPr>
          <w:rFonts w:hint="eastAsia" w:ascii="仿宋_GB2312" w:hAnsi="Times New Roman" w:eastAsia="仿宋_GB2312" w:cs="DengXian-Regular"/>
          <w:sz w:val="32"/>
          <w:szCs w:val="32"/>
        </w:rPr>
        <w:t>本</w:t>
      </w:r>
      <w:r>
        <w:rPr>
          <w:rFonts w:hint="eastAsia" w:ascii="仿宋" w:hAnsi="仿宋" w:eastAsia="仿宋" w:cs="仿宋"/>
          <w:sz w:val="32"/>
          <w:szCs w:val="32"/>
          <w:lang w:val="en-US" w:eastAsia="zh-CN"/>
        </w:rPr>
        <w:t>部门2025年度专项资金预算</w:t>
      </w:r>
      <w:r>
        <w:rPr>
          <w:rFonts w:hint="eastAsia" w:ascii="仿宋" w:hAnsi="仿宋" w:eastAsia="仿宋" w:cs="仿宋"/>
          <w:i w:val="0"/>
          <w:iCs w:val="0"/>
          <w:caps w:val="0"/>
          <w:color w:val="333333"/>
          <w:spacing w:val="0"/>
          <w:sz w:val="32"/>
          <w:szCs w:val="32"/>
          <w:shd w:val="clear" w:fill="FFFFFF"/>
          <w:lang w:val="en-US" w:eastAsia="zh-CN"/>
        </w:rPr>
        <w:t>648.97073</w:t>
      </w:r>
      <w:bookmarkStart w:id="0" w:name="_GoBack"/>
      <w:bookmarkEnd w:id="0"/>
      <w:r>
        <w:rPr>
          <w:rFonts w:hint="eastAsia" w:ascii="仿宋" w:hAnsi="仿宋" w:eastAsia="仿宋" w:cs="仿宋"/>
          <w:sz w:val="32"/>
          <w:szCs w:val="32"/>
          <w:lang w:val="en-US" w:eastAsia="zh-CN"/>
        </w:rPr>
        <w:t>万元，涉及项目9个，全年预算执行数：</w:t>
      </w:r>
      <w:r>
        <w:rPr>
          <w:rFonts w:hint="eastAsia" w:ascii="仿宋" w:hAnsi="仿宋" w:eastAsia="仿宋" w:cs="仿宋"/>
          <w:i w:val="0"/>
          <w:iCs w:val="0"/>
          <w:caps w:val="0"/>
          <w:color w:val="333333"/>
          <w:spacing w:val="0"/>
          <w:sz w:val="32"/>
          <w:szCs w:val="32"/>
          <w:shd w:val="clear" w:fill="FFFFFF"/>
          <w:lang w:val="en-US" w:eastAsia="zh-CN"/>
        </w:rPr>
        <w:t>444.264461</w:t>
      </w:r>
      <w:r>
        <w:rPr>
          <w:rFonts w:hint="eastAsia" w:ascii="仿宋" w:hAnsi="仿宋" w:eastAsia="仿宋" w:cs="仿宋"/>
          <w:sz w:val="32"/>
          <w:szCs w:val="32"/>
          <w:lang w:val="en-US" w:eastAsia="zh-CN"/>
        </w:rPr>
        <w:t>万元。</w:t>
      </w:r>
    </w:p>
    <w:p w14:paraId="6EC89BF8">
      <w:pPr>
        <w:numPr>
          <w:ilvl w:val="0"/>
          <w:numId w:val="2"/>
        </w:numPr>
        <w:adjustRightInd w:val="0"/>
        <w:snapToGrid w:val="0"/>
        <w:spacing w:line="560" w:lineRule="exact"/>
        <w:ind w:left="0" w:leftChars="0" w:firstLine="643" w:firstLineChars="200"/>
        <w:rPr>
          <w:rFonts w:hint="eastAsia" w:ascii="仿宋" w:hAnsi="仿宋" w:eastAsia="仿宋" w:cs="楷体_GB2312"/>
          <w:b/>
          <w:bCs/>
          <w:sz w:val="32"/>
          <w:szCs w:val="32"/>
        </w:rPr>
      </w:pPr>
      <w:r>
        <w:rPr>
          <w:rFonts w:hint="eastAsia" w:ascii="仿宋" w:hAnsi="仿宋" w:eastAsia="仿宋" w:cs="楷体_GB2312"/>
          <w:b/>
          <w:bCs/>
          <w:sz w:val="32"/>
          <w:szCs w:val="32"/>
        </w:rPr>
        <w:t>部门整体支出绩效目标、指标</w:t>
      </w:r>
    </w:p>
    <w:p w14:paraId="6F933383">
      <w:pPr>
        <w:adjustRightInd w:val="0"/>
        <w:snapToGrid w:val="0"/>
        <w:spacing w:line="580" w:lineRule="exact"/>
        <w:ind w:firstLine="640" w:firstLineChars="200"/>
        <w:rPr>
          <w:rFonts w:hint="eastAsia" w:ascii="仿宋_GB2312" w:hAnsi="Times New Roman" w:eastAsia="仿宋_GB2312" w:cs="DengXian-Regular"/>
          <w:sz w:val="32"/>
          <w:szCs w:val="32"/>
          <w:lang w:val="en-US" w:eastAsia="zh-CN"/>
        </w:rPr>
      </w:pPr>
      <w:r>
        <w:rPr>
          <w:rFonts w:hint="eastAsia" w:ascii="仿宋_GB2312" w:hAnsi="Times New Roman" w:eastAsia="仿宋_GB2312" w:cs="DengXian-Regular"/>
          <w:sz w:val="32"/>
          <w:szCs w:val="32"/>
          <w:lang w:val="en-US" w:eastAsia="zh-CN"/>
        </w:rPr>
        <w:t>概述项目绩效目标完成情况。</w:t>
      </w:r>
    </w:p>
    <w:p w14:paraId="1AD05AC3">
      <w:pPr>
        <w:adjustRightInd w:val="0"/>
        <w:snapToGrid w:val="0"/>
        <w:spacing w:line="580" w:lineRule="exact"/>
        <w:ind w:firstLine="640" w:firstLineChars="200"/>
        <w:rPr>
          <w:rFonts w:hint="eastAsia" w:ascii="仿宋_GB2312" w:hAnsi="Times New Roman" w:eastAsia="仿宋_GB2312" w:cs="DengXian-Regular"/>
          <w:sz w:val="32"/>
          <w:szCs w:val="32"/>
          <w:lang w:val="en-US" w:eastAsia="zh-CN"/>
        </w:rPr>
      </w:pPr>
      <w:r>
        <w:rPr>
          <w:rFonts w:hint="eastAsia" w:ascii="仿宋_GB2312" w:hAnsi="Times New Roman" w:eastAsia="仿宋_GB2312" w:cs="DengXian-Regular"/>
          <w:sz w:val="32"/>
          <w:szCs w:val="32"/>
          <w:lang w:val="en-US" w:eastAsia="zh-CN"/>
        </w:rPr>
        <w:t xml:space="preserve"> 按照预算绩效管理要求，我单位对 2025年年初确定的部门一般公共预算支出专项项目全面开展了绩效自评，涉及预算资金876.58万元，决算资金</w:t>
      </w:r>
      <w:r>
        <w:rPr>
          <w:rFonts w:hint="eastAsia" w:ascii="仿宋_GB2312" w:hAnsi="Times New Roman" w:eastAsia="仿宋_GB2312" w:cs="DengXian-Regular"/>
          <w:color w:val="auto"/>
          <w:sz w:val="32"/>
          <w:szCs w:val="32"/>
          <w:lang w:val="en-US" w:eastAsia="zh-CN"/>
        </w:rPr>
        <w:t>701.76</w:t>
      </w:r>
      <w:r>
        <w:rPr>
          <w:rFonts w:hint="eastAsia" w:ascii="仿宋_GB2312" w:hAnsi="Times New Roman" w:eastAsia="仿宋_GB2312" w:cs="DengXian-Regular"/>
          <w:sz w:val="32"/>
          <w:szCs w:val="32"/>
          <w:lang w:val="en-US" w:eastAsia="zh-CN"/>
        </w:rPr>
        <w:t>万元。绩效自评覆盖率达到100%。</w:t>
      </w:r>
    </w:p>
    <w:p w14:paraId="68D18EA5">
      <w:pPr>
        <w:adjustRightInd w:val="0"/>
        <w:snapToGrid w:val="0"/>
        <w:spacing w:line="560" w:lineRule="exact"/>
        <w:ind w:firstLine="640" w:firstLineChars="200"/>
        <w:rPr>
          <w:rFonts w:hint="eastAsia" w:ascii="仿宋_GB2312" w:hAnsi="仿宋_GB2312" w:eastAsia="仿宋_GB2312" w:cs="仿宋_GB2312"/>
          <w:color w:val="000000"/>
          <w:kern w:val="0"/>
          <w:sz w:val="32"/>
          <w:szCs w:val="32"/>
        </w:rPr>
      </w:pPr>
      <w:r>
        <w:rPr>
          <w:rFonts w:hint="eastAsia" w:ascii="仿宋_GB2312" w:hAnsi="仿宋_GB2312" w:eastAsia="仿宋_GB2312" w:cs="仿宋_GB2312"/>
          <w:color w:val="000000"/>
          <w:kern w:val="0"/>
          <w:sz w:val="32"/>
          <w:szCs w:val="32"/>
          <w:lang w:val="en-US" w:eastAsia="zh-CN"/>
        </w:rPr>
        <w:t>全年</w:t>
      </w:r>
      <w:r>
        <w:rPr>
          <w:rFonts w:hint="eastAsia" w:ascii="仿宋_GB2312" w:hAnsi="仿宋_GB2312" w:eastAsia="仿宋_GB2312" w:cs="仿宋_GB2312"/>
          <w:color w:val="000000"/>
          <w:kern w:val="0"/>
          <w:sz w:val="32"/>
          <w:szCs w:val="32"/>
        </w:rPr>
        <w:t>共完成了</w:t>
      </w:r>
      <w:r>
        <w:rPr>
          <w:rFonts w:hint="eastAsia" w:ascii="仿宋_GB2312" w:hAnsi="仿宋_GB2312" w:eastAsia="仿宋_GB2312" w:cs="仿宋_GB2312"/>
          <w:color w:val="000000"/>
          <w:kern w:val="0"/>
          <w:sz w:val="32"/>
          <w:szCs w:val="32"/>
          <w:lang w:val="en-US" w:eastAsia="zh-CN"/>
        </w:rPr>
        <w:t>46</w:t>
      </w:r>
      <w:r>
        <w:rPr>
          <w:rFonts w:hint="eastAsia" w:ascii="仿宋_GB2312" w:hAnsi="仿宋_GB2312" w:eastAsia="仿宋_GB2312" w:cs="仿宋_GB2312"/>
          <w:color w:val="000000"/>
          <w:kern w:val="0"/>
          <w:sz w:val="32"/>
          <w:szCs w:val="32"/>
        </w:rPr>
        <w:t>个项目的审计</w:t>
      </w:r>
      <w:r>
        <w:rPr>
          <w:rFonts w:hint="eastAsia" w:ascii="仿宋_GB2312" w:hAnsi="仿宋_GB2312" w:eastAsia="仿宋_GB2312" w:cs="仿宋_GB2312"/>
          <w:color w:val="000000"/>
          <w:kern w:val="0"/>
          <w:sz w:val="32"/>
          <w:szCs w:val="32"/>
          <w:lang w:val="en-US" w:eastAsia="zh-CN"/>
        </w:rPr>
        <w:t>及监督</w:t>
      </w:r>
      <w:r>
        <w:rPr>
          <w:rFonts w:hint="eastAsia" w:ascii="仿宋_GB2312" w:hAnsi="仿宋_GB2312" w:eastAsia="仿宋_GB2312" w:cs="仿宋_GB2312"/>
          <w:color w:val="000000"/>
          <w:kern w:val="0"/>
          <w:sz w:val="32"/>
          <w:szCs w:val="32"/>
        </w:rPr>
        <w:t>工作</w:t>
      </w:r>
      <w:r>
        <w:rPr>
          <w:rFonts w:hint="eastAsia" w:ascii="仿宋_GB2312" w:hAnsi="仿宋_GB2312" w:eastAsia="仿宋_GB2312" w:cs="仿宋_GB2312"/>
          <w:color w:val="000000"/>
          <w:kern w:val="0"/>
          <w:sz w:val="32"/>
          <w:szCs w:val="32"/>
          <w:lang w:eastAsia="zh-CN"/>
        </w:rPr>
        <w:t>（</w:t>
      </w:r>
      <w:r>
        <w:rPr>
          <w:rFonts w:hint="eastAsia" w:ascii="仿宋_GB2312" w:hAnsi="仿宋_GB2312" w:eastAsia="仿宋_GB2312" w:cs="仿宋_GB2312"/>
          <w:color w:val="000000"/>
          <w:kern w:val="0"/>
          <w:sz w:val="32"/>
          <w:szCs w:val="32"/>
        </w:rPr>
        <w:t>其中：政府投资项目结算审计监督</w:t>
      </w:r>
      <w:r>
        <w:rPr>
          <w:rFonts w:hint="eastAsia" w:ascii="仿宋_GB2312" w:hAnsi="仿宋_GB2312" w:eastAsia="仿宋_GB2312" w:cs="仿宋_GB2312"/>
          <w:color w:val="000000"/>
          <w:kern w:val="0"/>
          <w:sz w:val="32"/>
          <w:szCs w:val="32"/>
          <w:lang w:val="en-US" w:eastAsia="zh-CN"/>
        </w:rPr>
        <w:t>34</w:t>
      </w:r>
      <w:r>
        <w:rPr>
          <w:rFonts w:hint="eastAsia" w:ascii="仿宋_GB2312" w:hAnsi="仿宋_GB2312" w:eastAsia="仿宋_GB2312" w:cs="仿宋_GB2312"/>
          <w:color w:val="000000"/>
          <w:kern w:val="0"/>
          <w:sz w:val="32"/>
          <w:szCs w:val="32"/>
        </w:rPr>
        <w:t>个，项目竣工决算审计</w:t>
      </w:r>
      <w:r>
        <w:rPr>
          <w:rFonts w:hint="eastAsia" w:ascii="仿宋_GB2312" w:hAnsi="仿宋_GB2312" w:eastAsia="仿宋_GB2312" w:cs="仿宋_GB2312"/>
          <w:color w:val="000000"/>
          <w:kern w:val="0"/>
          <w:sz w:val="32"/>
          <w:szCs w:val="32"/>
          <w:lang w:val="en-US" w:eastAsia="zh-CN"/>
        </w:rPr>
        <w:t>1个，</w:t>
      </w:r>
      <w:r>
        <w:rPr>
          <w:rFonts w:hint="eastAsia" w:ascii="仿宋_GB2312" w:hAnsi="仿宋_GB2312" w:eastAsia="仿宋_GB2312" w:cs="仿宋_GB2312"/>
          <w:color w:val="000000"/>
          <w:kern w:val="0"/>
          <w:sz w:val="32"/>
          <w:szCs w:val="32"/>
        </w:rPr>
        <w:t>领导干部经济责任审计</w:t>
      </w:r>
      <w:r>
        <w:rPr>
          <w:rFonts w:hint="eastAsia" w:ascii="仿宋_GB2312" w:hAnsi="仿宋_GB2312" w:eastAsia="仿宋_GB2312" w:cs="仿宋_GB2312"/>
          <w:color w:val="000000"/>
          <w:kern w:val="0"/>
          <w:sz w:val="32"/>
          <w:szCs w:val="32"/>
          <w:lang w:val="en-US" w:eastAsia="zh-CN"/>
        </w:rPr>
        <w:t>4</w:t>
      </w:r>
      <w:r>
        <w:rPr>
          <w:rFonts w:hint="eastAsia" w:ascii="仿宋_GB2312" w:hAnsi="仿宋_GB2312" w:eastAsia="仿宋_GB2312" w:cs="仿宋_GB2312"/>
          <w:color w:val="000000"/>
          <w:kern w:val="0"/>
          <w:sz w:val="32"/>
          <w:szCs w:val="32"/>
        </w:rPr>
        <w:t>个，领导干部任</w:t>
      </w:r>
      <w:r>
        <w:rPr>
          <w:rFonts w:hint="eastAsia" w:ascii="仿宋_GB2312" w:hAnsi="仿宋_GB2312" w:eastAsia="仿宋_GB2312" w:cs="仿宋_GB2312"/>
          <w:color w:val="000000"/>
          <w:kern w:val="0"/>
          <w:sz w:val="32"/>
          <w:szCs w:val="32"/>
          <w:lang w:val="en-US" w:eastAsia="zh-CN"/>
        </w:rPr>
        <w:t>中</w:t>
      </w:r>
      <w:r>
        <w:rPr>
          <w:rFonts w:hint="eastAsia" w:ascii="仿宋_GB2312" w:hAnsi="仿宋_GB2312" w:eastAsia="仿宋_GB2312" w:cs="仿宋_GB2312"/>
          <w:color w:val="000000"/>
          <w:kern w:val="0"/>
          <w:sz w:val="32"/>
          <w:szCs w:val="32"/>
        </w:rPr>
        <w:t>自然资源资产审计2个，财政</w:t>
      </w:r>
      <w:r>
        <w:rPr>
          <w:rFonts w:hint="eastAsia" w:ascii="仿宋_GB2312" w:hAnsi="仿宋_GB2312" w:eastAsia="仿宋_GB2312" w:cs="仿宋_GB2312"/>
          <w:color w:val="000000"/>
          <w:kern w:val="0"/>
          <w:sz w:val="32"/>
          <w:szCs w:val="32"/>
          <w:lang w:val="en-US" w:eastAsia="zh-CN"/>
        </w:rPr>
        <w:t>及部门预算执行审计5</w:t>
      </w:r>
      <w:r>
        <w:rPr>
          <w:rFonts w:hint="eastAsia" w:ascii="仿宋_GB2312" w:hAnsi="仿宋_GB2312" w:eastAsia="仿宋_GB2312" w:cs="仿宋_GB2312"/>
          <w:color w:val="000000"/>
          <w:kern w:val="0"/>
          <w:sz w:val="32"/>
          <w:szCs w:val="32"/>
        </w:rPr>
        <w:t>个）。通过审计发现违规资金13.626万元、管理不规范资金112.516万元，促使上缴财政资金18.373万元，发现问题53个，提出审计建议44条，向县纪委监委移送审计发现问题线索1条。</w:t>
      </w:r>
    </w:p>
    <w:p w14:paraId="2BF60732">
      <w:pPr>
        <w:adjustRightInd w:val="0"/>
        <w:snapToGrid w:val="0"/>
        <w:spacing w:line="560" w:lineRule="exact"/>
        <w:ind w:firstLine="640" w:firstLineChars="200"/>
        <w:rPr>
          <w:rFonts w:hint="eastAsia" w:ascii="仿宋" w:hAnsi="仿宋" w:eastAsia="仿宋" w:cs="楷体_GB2312"/>
          <w:b/>
          <w:bCs/>
          <w:sz w:val="32"/>
          <w:szCs w:val="32"/>
        </w:rPr>
      </w:pPr>
      <w:r>
        <w:rPr>
          <w:rFonts w:hint="eastAsia" w:ascii="黑体" w:hAnsi="黑体" w:eastAsia="黑体"/>
          <w:sz w:val="32"/>
          <w:szCs w:val="32"/>
        </w:rPr>
        <w:t>二、自评工作开展情况</w:t>
      </w:r>
    </w:p>
    <w:p w14:paraId="1CFCB2DA">
      <w:pPr>
        <w:spacing w:line="560" w:lineRule="exact"/>
        <w:ind w:firstLine="630" w:firstLineChars="196"/>
        <w:rPr>
          <w:rFonts w:hint="eastAsia" w:ascii="仿宋" w:hAnsi="仿宋" w:eastAsia="仿宋" w:cs="楷体_GB2312"/>
          <w:b/>
          <w:bCs/>
          <w:sz w:val="32"/>
          <w:szCs w:val="32"/>
        </w:rPr>
      </w:pPr>
      <w:r>
        <w:rPr>
          <w:rFonts w:hint="eastAsia" w:ascii="仿宋" w:hAnsi="仿宋" w:eastAsia="仿宋" w:cs="楷体_GB2312"/>
          <w:b/>
          <w:bCs/>
          <w:sz w:val="32"/>
          <w:szCs w:val="32"/>
        </w:rPr>
        <w:t>（一）自评的组织工作</w:t>
      </w:r>
    </w:p>
    <w:p w14:paraId="7DF63A76">
      <w:pPr>
        <w:numPr>
          <w:ilvl w:val="0"/>
          <w:numId w:val="0"/>
        </w:numPr>
        <w:adjustRightInd w:val="0"/>
        <w:snapToGrid w:val="0"/>
        <w:spacing w:line="560" w:lineRule="exact"/>
        <w:ind w:firstLine="640" w:firstLineChars="200"/>
        <w:rPr>
          <w:rFonts w:ascii="仿宋" w:hAnsi="仿宋" w:eastAsia="仿宋"/>
          <w:b w:val="0"/>
          <w:bCs w:val="0"/>
          <w:sz w:val="32"/>
          <w:szCs w:val="32"/>
        </w:rPr>
      </w:pPr>
      <w:r>
        <w:rPr>
          <w:rFonts w:hint="eastAsia" w:ascii="仿宋" w:hAnsi="仿宋" w:eastAsia="仿宋" w:cs="楷体_GB2312"/>
          <w:b w:val="0"/>
          <w:bCs w:val="0"/>
          <w:sz w:val="32"/>
          <w:szCs w:val="32"/>
        </w:rPr>
        <w:t>为做好202</w:t>
      </w:r>
      <w:r>
        <w:rPr>
          <w:rFonts w:hint="eastAsia" w:ascii="仿宋" w:hAnsi="仿宋" w:eastAsia="仿宋" w:cs="楷体_GB2312"/>
          <w:b w:val="0"/>
          <w:bCs w:val="0"/>
          <w:sz w:val="32"/>
          <w:szCs w:val="32"/>
          <w:lang w:val="en-US" w:eastAsia="zh-CN"/>
        </w:rPr>
        <w:t>5</w:t>
      </w:r>
      <w:r>
        <w:rPr>
          <w:rFonts w:hint="eastAsia" w:ascii="仿宋" w:hAnsi="仿宋" w:eastAsia="仿宋" w:cs="楷体_GB2312"/>
          <w:b w:val="0"/>
          <w:bCs w:val="0"/>
          <w:sz w:val="32"/>
          <w:szCs w:val="32"/>
        </w:rPr>
        <w:t>年部门整体支出绩效自评工作，我</w:t>
      </w:r>
      <w:r>
        <w:rPr>
          <w:rFonts w:hint="eastAsia" w:ascii="仿宋" w:hAnsi="仿宋" w:eastAsia="仿宋" w:cs="楷体_GB2312"/>
          <w:b w:val="0"/>
          <w:bCs w:val="0"/>
          <w:sz w:val="32"/>
          <w:szCs w:val="32"/>
          <w:lang w:eastAsia="zh-CN"/>
        </w:rPr>
        <w:t>局</w:t>
      </w:r>
      <w:r>
        <w:rPr>
          <w:rFonts w:hint="eastAsia" w:ascii="仿宋" w:hAnsi="仿宋" w:eastAsia="仿宋" w:cs="楷体_GB2312"/>
          <w:b w:val="0"/>
          <w:bCs w:val="0"/>
          <w:sz w:val="32"/>
          <w:szCs w:val="32"/>
        </w:rPr>
        <w:t>成立了</w:t>
      </w:r>
      <w:r>
        <w:rPr>
          <w:rFonts w:hint="eastAsia" w:ascii="仿宋" w:hAnsi="仿宋" w:eastAsia="仿宋" w:cs="楷体_GB2312"/>
          <w:b w:val="0"/>
          <w:bCs w:val="0"/>
          <w:sz w:val="32"/>
          <w:szCs w:val="32"/>
          <w:lang w:eastAsia="zh-CN"/>
        </w:rPr>
        <w:t>以副局长</w:t>
      </w:r>
      <w:r>
        <w:rPr>
          <w:rFonts w:hint="eastAsia" w:ascii="仿宋" w:hAnsi="仿宋" w:eastAsia="仿宋" w:cs="楷体_GB2312"/>
          <w:b w:val="0"/>
          <w:bCs w:val="0"/>
          <w:sz w:val="32"/>
          <w:szCs w:val="32"/>
        </w:rPr>
        <w:t>任组长，</w:t>
      </w:r>
      <w:r>
        <w:rPr>
          <w:rFonts w:hint="eastAsia" w:ascii="仿宋" w:hAnsi="仿宋" w:eastAsia="仿宋" w:cs="仿宋"/>
          <w:b w:val="0"/>
          <w:bCs w:val="0"/>
          <w:i w:val="0"/>
          <w:iCs w:val="0"/>
          <w:caps w:val="0"/>
          <w:color w:val="333333"/>
          <w:spacing w:val="0"/>
          <w:sz w:val="32"/>
          <w:szCs w:val="32"/>
          <w:shd w:val="clear" w:fill="FFFFFF"/>
        </w:rPr>
        <w:t>办公室</w:t>
      </w:r>
      <w:r>
        <w:rPr>
          <w:rFonts w:hint="eastAsia" w:ascii="仿宋" w:hAnsi="仿宋" w:eastAsia="仿宋" w:cs="仿宋"/>
          <w:b w:val="0"/>
          <w:bCs w:val="0"/>
          <w:i w:val="0"/>
          <w:iCs w:val="0"/>
          <w:caps w:val="0"/>
          <w:color w:val="333333"/>
          <w:spacing w:val="0"/>
          <w:sz w:val="32"/>
          <w:szCs w:val="32"/>
          <w:shd w:val="clear" w:fill="FFFFFF"/>
          <w:lang w:eastAsia="zh-CN"/>
        </w:rPr>
        <w:t>及相关科室主任为组员</w:t>
      </w:r>
      <w:r>
        <w:rPr>
          <w:rFonts w:hint="eastAsia" w:ascii="仿宋" w:hAnsi="仿宋" w:eastAsia="仿宋" w:cs="楷体_GB2312"/>
          <w:b w:val="0"/>
          <w:bCs w:val="0"/>
          <w:sz w:val="32"/>
          <w:szCs w:val="32"/>
        </w:rPr>
        <w:t>的绩效自评工作领导小组，</w:t>
      </w:r>
      <w:r>
        <w:rPr>
          <w:rFonts w:hint="eastAsia" w:ascii="仿宋" w:hAnsi="仿宋" w:eastAsia="仿宋" w:cs="楷体_GB2312"/>
          <w:b w:val="0"/>
          <w:bCs w:val="0"/>
          <w:sz w:val="32"/>
          <w:szCs w:val="32"/>
          <w:lang w:eastAsia="zh-CN"/>
        </w:rPr>
        <w:t>办公室</w:t>
      </w:r>
      <w:r>
        <w:rPr>
          <w:rFonts w:hint="eastAsia" w:ascii="仿宋" w:hAnsi="仿宋" w:eastAsia="仿宋" w:cs="楷体_GB2312"/>
          <w:b w:val="0"/>
          <w:bCs w:val="0"/>
          <w:sz w:val="32"/>
          <w:szCs w:val="32"/>
        </w:rPr>
        <w:t>负责此次绩效自评的牵头组织、审核、汇总，各相关科室负责所管理项目的绩效自评。</w:t>
      </w:r>
      <w:r>
        <w:rPr>
          <w:rFonts w:hint="eastAsia" w:ascii="仿宋" w:hAnsi="仿宋" w:eastAsia="仿宋" w:cs="仿宋"/>
          <w:b w:val="0"/>
          <w:bCs w:val="0"/>
          <w:i w:val="0"/>
          <w:iCs w:val="0"/>
          <w:caps w:val="0"/>
          <w:color w:val="333333"/>
          <w:spacing w:val="0"/>
          <w:sz w:val="32"/>
          <w:szCs w:val="32"/>
          <w:shd w:val="clear" w:fill="FFFFFF"/>
        </w:rPr>
        <w:t>结合去年该项工作经验，确保</w:t>
      </w:r>
      <w:r>
        <w:rPr>
          <w:rFonts w:hint="eastAsia" w:ascii="仿宋" w:hAnsi="仿宋" w:eastAsia="仿宋" w:cs="仿宋"/>
          <w:b w:val="0"/>
          <w:bCs w:val="0"/>
          <w:i w:val="0"/>
          <w:iCs w:val="0"/>
          <w:caps w:val="0"/>
          <w:color w:val="333333"/>
          <w:spacing w:val="0"/>
          <w:sz w:val="32"/>
          <w:szCs w:val="32"/>
          <w:shd w:val="clear" w:fill="FFFFFF"/>
          <w:lang w:eastAsia="zh-CN"/>
        </w:rPr>
        <w:t>此</w:t>
      </w:r>
      <w:r>
        <w:rPr>
          <w:rFonts w:hint="eastAsia" w:ascii="仿宋" w:hAnsi="仿宋" w:eastAsia="仿宋" w:cs="仿宋"/>
          <w:b w:val="0"/>
          <w:bCs w:val="0"/>
          <w:i w:val="0"/>
          <w:iCs w:val="0"/>
          <w:caps w:val="0"/>
          <w:color w:val="333333"/>
          <w:spacing w:val="0"/>
          <w:sz w:val="32"/>
          <w:szCs w:val="32"/>
          <w:shd w:val="clear" w:fill="FFFFFF"/>
        </w:rPr>
        <w:t>项工作能够保质保量完成。</w:t>
      </w:r>
      <w:r>
        <w:rPr>
          <w:rFonts w:hint="eastAsia" w:ascii="仿宋" w:hAnsi="仿宋" w:eastAsia="仿宋"/>
          <w:b w:val="0"/>
          <w:bCs w:val="0"/>
          <w:sz w:val="32"/>
          <w:szCs w:val="32"/>
        </w:rPr>
        <w:t xml:space="preserve">   </w:t>
      </w:r>
    </w:p>
    <w:p w14:paraId="4726E55A">
      <w:pPr>
        <w:numPr>
          <w:ilvl w:val="0"/>
          <w:numId w:val="3"/>
        </w:numPr>
        <w:spacing w:line="560" w:lineRule="exact"/>
        <w:rPr>
          <w:rFonts w:ascii="仿宋" w:hAnsi="仿宋" w:eastAsia="仿宋" w:cs="楷体_GB2312"/>
          <w:b/>
          <w:bCs/>
          <w:sz w:val="32"/>
          <w:szCs w:val="32"/>
        </w:rPr>
      </w:pPr>
      <w:r>
        <w:rPr>
          <w:rFonts w:hint="eastAsia" w:ascii="仿宋" w:hAnsi="仿宋" w:eastAsia="仿宋" w:cs="楷体_GB2312"/>
          <w:b/>
          <w:bCs/>
          <w:sz w:val="32"/>
          <w:szCs w:val="32"/>
        </w:rPr>
        <w:t>自评的方法和过程</w:t>
      </w:r>
    </w:p>
    <w:p w14:paraId="07E4D376">
      <w:pPr>
        <w:numPr>
          <w:ilvl w:val="0"/>
          <w:numId w:val="0"/>
        </w:numPr>
        <w:spacing w:line="560" w:lineRule="exact"/>
        <w:ind w:firstLine="640" w:firstLineChars="200"/>
        <w:rPr>
          <w:rFonts w:hint="eastAsia" w:ascii="仿宋" w:hAnsi="仿宋" w:eastAsia="仿宋" w:cs="仿宋"/>
          <w:b w:val="0"/>
          <w:bCs w:val="0"/>
          <w:sz w:val="32"/>
          <w:szCs w:val="32"/>
          <w:lang w:eastAsia="zh-CN"/>
        </w:rPr>
      </w:pPr>
      <w:r>
        <w:rPr>
          <w:rFonts w:hint="eastAsia" w:ascii="仿宋" w:hAnsi="仿宋" w:eastAsia="仿宋" w:cs="仿宋"/>
          <w:b w:val="0"/>
          <w:bCs w:val="0"/>
          <w:sz w:val="32"/>
          <w:szCs w:val="32"/>
          <w:lang w:eastAsia="zh-CN"/>
        </w:rPr>
        <w:t>为提高自评结果的客观公正性，本着科学规范、客观公正、注重实效的原则，领导小组对部门整体支出绩效自评作进行了周密部署，转发了《元氏县财政局关于开展202</w:t>
      </w:r>
      <w:r>
        <w:rPr>
          <w:rFonts w:hint="eastAsia" w:ascii="仿宋" w:hAnsi="仿宋" w:eastAsia="仿宋" w:cs="仿宋"/>
          <w:b w:val="0"/>
          <w:bCs w:val="0"/>
          <w:sz w:val="32"/>
          <w:szCs w:val="32"/>
          <w:lang w:val="en-US" w:eastAsia="zh-CN"/>
        </w:rPr>
        <w:t>5</w:t>
      </w:r>
      <w:r>
        <w:rPr>
          <w:rFonts w:hint="eastAsia" w:ascii="仿宋" w:hAnsi="仿宋" w:eastAsia="仿宋" w:cs="仿宋"/>
          <w:b w:val="0"/>
          <w:bCs w:val="0"/>
          <w:sz w:val="32"/>
          <w:szCs w:val="32"/>
          <w:lang w:eastAsia="zh-CN"/>
        </w:rPr>
        <w:t>年度县级预算项目绩效自评工作的通知》，明确了绩效自评的方法、步骤，对自评工作提出了明确要求。财务科及各相关科室接到通知后按照自评方案要求，积极做好数据收集、现场核查、满意度调查等相关工作，及时提供整体支出绩效自评相关材料，确保按时保质完成自评工作。</w:t>
      </w:r>
    </w:p>
    <w:p w14:paraId="79874C84">
      <w:pPr>
        <w:spacing w:line="560" w:lineRule="exact"/>
        <w:ind w:firstLine="800" w:firstLineChars="250"/>
        <w:rPr>
          <w:rFonts w:ascii="黑体" w:hAnsi="黑体" w:eastAsia="黑体"/>
          <w:b/>
          <w:bCs/>
          <w:sz w:val="32"/>
          <w:szCs w:val="32"/>
        </w:rPr>
      </w:pPr>
      <w:r>
        <w:rPr>
          <w:rFonts w:hint="eastAsia" w:ascii="黑体" w:hAnsi="黑体" w:eastAsia="黑体"/>
          <w:sz w:val="32"/>
          <w:szCs w:val="32"/>
        </w:rPr>
        <w:t>三、部门整体支出绩效目标实现情况及指标分析</w:t>
      </w:r>
    </w:p>
    <w:p w14:paraId="3C894579">
      <w:pPr>
        <w:numPr>
          <w:ilvl w:val="0"/>
          <w:numId w:val="4"/>
        </w:numPr>
        <w:spacing w:line="560" w:lineRule="exact"/>
        <w:ind w:left="-13" w:leftChars="0" w:firstLine="643" w:firstLineChars="0"/>
        <w:rPr>
          <w:rFonts w:ascii="仿宋" w:hAnsi="仿宋" w:eastAsia="仿宋" w:cs="楷体_GB2312"/>
          <w:b/>
          <w:bCs/>
          <w:sz w:val="32"/>
          <w:szCs w:val="32"/>
        </w:rPr>
      </w:pPr>
      <w:r>
        <w:rPr>
          <w:rFonts w:hint="eastAsia" w:ascii="仿宋" w:hAnsi="仿宋" w:eastAsia="仿宋" w:cs="楷体_GB2312"/>
          <w:b/>
          <w:bCs/>
          <w:sz w:val="32"/>
          <w:szCs w:val="32"/>
        </w:rPr>
        <w:t>总体绩效目标实现情况</w:t>
      </w:r>
    </w:p>
    <w:p w14:paraId="2AE9B1FC">
      <w:pPr>
        <w:pStyle w:val="10"/>
        <w:rPr>
          <w:rFonts w:hint="eastAsia" w:ascii="仿宋" w:hAnsi="仿宋" w:eastAsia="仿宋" w:cs="仿宋"/>
          <w:b w:val="0"/>
          <w:bCs w:val="0"/>
          <w:kern w:val="2"/>
          <w:sz w:val="32"/>
          <w:szCs w:val="32"/>
          <w:lang w:val="en-US" w:eastAsia="zh-CN" w:bidi="ar-SA"/>
        </w:rPr>
      </w:pPr>
      <w:r>
        <w:rPr>
          <w:rFonts w:hint="eastAsia" w:ascii="仿宋" w:hAnsi="仿宋" w:eastAsia="仿宋" w:cs="楷体_GB2312"/>
          <w:b/>
          <w:bCs/>
          <w:sz w:val="32"/>
          <w:szCs w:val="32"/>
          <w:lang w:val="en-US" w:eastAsia="zh-CN"/>
        </w:rPr>
        <w:t xml:space="preserve">   </w:t>
      </w:r>
      <w:r>
        <w:rPr>
          <w:rFonts w:hint="eastAsia" w:ascii="仿宋" w:hAnsi="仿宋" w:eastAsia="仿宋" w:cs="仿宋"/>
          <w:b w:val="0"/>
          <w:bCs w:val="0"/>
          <w:kern w:val="2"/>
          <w:sz w:val="32"/>
          <w:szCs w:val="32"/>
          <w:lang w:val="en-US" w:eastAsia="zh-CN" w:bidi="ar-SA"/>
        </w:rPr>
        <w:t xml:space="preserve"> 2025年我单位合理制定年度审计计划，报县政府和市审计局批准，严格执行上级交办的审计事项，依法审计，切实督促被审计单位整改，按时完成审计，提交审计报告，检查审计问题的整改情况，适当方式向社会公布审计结果，及时向县政府通报审计情况和审计结果。按时完成县委组织部委托的离任经济责任审计和年度计划内的领导干部经济责任审计。</w:t>
      </w:r>
    </w:p>
    <w:p w14:paraId="2679965E">
      <w:pPr>
        <w:numPr>
          <w:ilvl w:val="0"/>
          <w:numId w:val="0"/>
        </w:numPr>
        <w:spacing w:line="560" w:lineRule="exact"/>
        <w:rPr>
          <w:rFonts w:hint="default" w:ascii="仿宋" w:hAnsi="仿宋" w:eastAsia="仿宋" w:cs="仿宋"/>
          <w:b w:val="0"/>
          <w:bCs w:val="0"/>
          <w:sz w:val="32"/>
          <w:szCs w:val="32"/>
          <w:lang w:val="en-US" w:eastAsia="zh-CN"/>
        </w:rPr>
      </w:pPr>
    </w:p>
    <w:p w14:paraId="6EF9CF18">
      <w:pPr>
        <w:numPr>
          <w:ilvl w:val="0"/>
          <w:numId w:val="4"/>
        </w:numPr>
        <w:spacing w:line="560" w:lineRule="exact"/>
        <w:ind w:left="-13" w:leftChars="0" w:firstLine="643" w:firstLineChars="0"/>
        <w:rPr>
          <w:rFonts w:hint="eastAsia" w:ascii="仿宋" w:hAnsi="仿宋" w:eastAsia="仿宋" w:cs="楷体_GB2312"/>
          <w:b/>
          <w:bCs/>
          <w:sz w:val="32"/>
          <w:szCs w:val="32"/>
          <w:lang w:val="en-US" w:eastAsia="zh-CN"/>
        </w:rPr>
      </w:pPr>
      <w:r>
        <w:rPr>
          <w:rFonts w:hint="eastAsia" w:ascii="仿宋" w:hAnsi="仿宋" w:eastAsia="仿宋" w:cs="楷体_GB2312"/>
          <w:b/>
          <w:bCs/>
          <w:sz w:val="32"/>
          <w:szCs w:val="32"/>
        </w:rPr>
        <w:t>分项绩效目标实现情况及指标分析</w:t>
      </w:r>
    </w:p>
    <w:p w14:paraId="57B83C81">
      <w:pPr>
        <w:pStyle w:val="11"/>
        <w:rPr>
          <w:rFonts w:hint="eastAsia" w:ascii="仿宋" w:hAnsi="仿宋" w:eastAsia="仿宋" w:cs="仿宋"/>
          <w:b w:val="0"/>
          <w:bCs w:val="0"/>
          <w:kern w:val="2"/>
          <w:sz w:val="32"/>
          <w:szCs w:val="32"/>
          <w:lang w:val="en-US" w:eastAsia="zh-CN" w:bidi="ar-SA"/>
        </w:rPr>
      </w:pPr>
      <w:r>
        <w:rPr>
          <w:rFonts w:hint="eastAsia" w:ascii="仿宋" w:hAnsi="仿宋" w:eastAsia="仿宋" w:cs="仿宋"/>
          <w:b w:val="0"/>
          <w:bCs w:val="0"/>
          <w:kern w:val="2"/>
          <w:sz w:val="32"/>
          <w:szCs w:val="32"/>
          <w:lang w:val="en-US" w:eastAsia="zh-CN" w:bidi="ar-SA"/>
        </w:rPr>
        <w:t>1、积极推动财政绩效管理</w:t>
      </w:r>
    </w:p>
    <w:p w14:paraId="04829C62">
      <w:pPr>
        <w:pStyle w:val="11"/>
        <w:rPr>
          <w:rFonts w:hint="eastAsia" w:ascii="仿宋" w:hAnsi="仿宋" w:eastAsia="仿宋" w:cs="仿宋"/>
          <w:b w:val="0"/>
          <w:bCs w:val="0"/>
          <w:kern w:val="2"/>
          <w:sz w:val="32"/>
          <w:szCs w:val="32"/>
          <w:lang w:val="en-US" w:eastAsia="zh-CN" w:bidi="ar-SA"/>
        </w:rPr>
      </w:pPr>
      <w:r>
        <w:rPr>
          <w:rFonts w:hint="eastAsia" w:ascii="仿宋" w:hAnsi="仿宋" w:eastAsia="仿宋" w:cs="仿宋"/>
          <w:b w:val="0"/>
          <w:bCs w:val="0"/>
          <w:kern w:val="2"/>
          <w:sz w:val="32"/>
          <w:szCs w:val="32"/>
          <w:lang w:val="en-US" w:eastAsia="zh-CN" w:bidi="ar-SA"/>
        </w:rPr>
        <w:t>绩效目标：推动建立现代财政制度、规范财政支出管理、提高财政资金使用绩效指标：一是关注财政支出结构优化、地方政府债券发行使用、转移支付健全完善、财政资金统筹盘活等情；二是摸清政府 账户结存资金；三是推动财政资金绩效管理。组织2025年度预算执行、决算草案和其他财政收支情况进行全面审计,关注重点县直部门不少于8个。一级预算单位全覆盖审计。对全部一级预算单位财政财务数据和业务数据进行大数据分析,重点核查一级预算单位不少于 20 个,实现审计全覆盖和精准审计。</w:t>
      </w:r>
    </w:p>
    <w:p w14:paraId="364A93CA">
      <w:pPr>
        <w:pStyle w:val="11"/>
        <w:rPr>
          <w:rFonts w:hint="eastAsia" w:ascii="仿宋" w:hAnsi="仿宋" w:eastAsia="仿宋" w:cs="仿宋"/>
          <w:b w:val="0"/>
          <w:bCs w:val="0"/>
          <w:kern w:val="2"/>
          <w:sz w:val="32"/>
          <w:szCs w:val="32"/>
          <w:lang w:val="en-US" w:eastAsia="zh-CN" w:bidi="ar-SA"/>
        </w:rPr>
      </w:pPr>
      <w:r>
        <w:rPr>
          <w:rFonts w:hint="eastAsia" w:ascii="仿宋" w:hAnsi="仿宋" w:eastAsia="仿宋" w:cs="仿宋"/>
          <w:b w:val="0"/>
          <w:bCs w:val="0"/>
          <w:kern w:val="2"/>
          <w:sz w:val="32"/>
          <w:szCs w:val="32"/>
          <w:lang w:val="en-US" w:eastAsia="zh-CN" w:bidi="ar-SA"/>
        </w:rPr>
        <w:t>2、不断提高依法履行审计监督职责</w:t>
      </w:r>
    </w:p>
    <w:p w14:paraId="38D53478">
      <w:pPr>
        <w:pStyle w:val="11"/>
        <w:rPr>
          <w:rFonts w:hint="eastAsia" w:ascii="仿宋" w:hAnsi="仿宋" w:eastAsia="仿宋" w:cs="仿宋"/>
          <w:b w:val="0"/>
          <w:bCs w:val="0"/>
          <w:kern w:val="2"/>
          <w:sz w:val="32"/>
          <w:szCs w:val="32"/>
          <w:lang w:val="en-US" w:eastAsia="zh-CN" w:bidi="ar-SA"/>
        </w:rPr>
      </w:pPr>
      <w:r>
        <w:rPr>
          <w:rFonts w:hint="eastAsia" w:ascii="仿宋" w:hAnsi="仿宋" w:eastAsia="仿宋" w:cs="仿宋"/>
          <w:b w:val="0"/>
          <w:bCs w:val="0"/>
          <w:kern w:val="2"/>
          <w:sz w:val="32"/>
          <w:szCs w:val="32"/>
          <w:lang w:val="en-US" w:eastAsia="zh-CN" w:bidi="ar-SA"/>
        </w:rPr>
        <w:t>绩效目标：负责对县政府部门财政收支和法律法规规定属于审计监督范围的财务收支的真实、合法和效益进行审计监督,维护财政经济秩序,提高财政资金使用效益,促进廉政建设,保障全县经济和社会健康发展。</w:t>
      </w:r>
    </w:p>
    <w:p w14:paraId="76DED093">
      <w:pPr>
        <w:pStyle w:val="11"/>
        <w:rPr>
          <w:rFonts w:hint="eastAsia" w:ascii="仿宋" w:hAnsi="仿宋" w:eastAsia="仿宋" w:cs="仿宋"/>
          <w:b w:val="0"/>
          <w:bCs w:val="0"/>
          <w:kern w:val="2"/>
          <w:sz w:val="32"/>
          <w:szCs w:val="32"/>
          <w:lang w:val="en-US" w:eastAsia="zh-CN" w:bidi="ar-SA"/>
        </w:rPr>
      </w:pPr>
      <w:r>
        <w:rPr>
          <w:rFonts w:hint="eastAsia" w:ascii="仿宋" w:hAnsi="仿宋" w:eastAsia="仿宋" w:cs="仿宋"/>
          <w:b w:val="0"/>
          <w:bCs w:val="0"/>
          <w:kern w:val="2"/>
          <w:sz w:val="32"/>
          <w:szCs w:val="32"/>
          <w:lang w:val="en-US" w:eastAsia="zh-CN" w:bidi="ar-SA"/>
        </w:rPr>
        <w:t>绩效指标：完成年度审计计划任务,审计建议采纳率达到75%以上,获得部门优秀审计项目数量1个,专项审计工作完成率达到85%以上,审计报告征求意见率达到 100%。</w:t>
      </w:r>
    </w:p>
    <w:p w14:paraId="26E2E097">
      <w:pPr>
        <w:pStyle w:val="11"/>
        <w:rPr>
          <w:rFonts w:hint="eastAsia" w:ascii="仿宋" w:hAnsi="仿宋" w:eastAsia="仿宋" w:cs="仿宋"/>
          <w:b w:val="0"/>
          <w:bCs w:val="0"/>
          <w:kern w:val="2"/>
          <w:sz w:val="32"/>
          <w:szCs w:val="32"/>
          <w:lang w:val="en-US" w:eastAsia="zh-CN" w:bidi="ar-SA"/>
        </w:rPr>
      </w:pPr>
      <w:r>
        <w:rPr>
          <w:rFonts w:hint="eastAsia" w:ascii="仿宋" w:hAnsi="仿宋" w:eastAsia="仿宋" w:cs="仿宋"/>
          <w:b w:val="0"/>
          <w:bCs w:val="0"/>
          <w:kern w:val="2"/>
          <w:sz w:val="32"/>
          <w:szCs w:val="32"/>
          <w:lang w:val="en-US" w:eastAsia="zh-CN" w:bidi="ar-SA"/>
        </w:rPr>
        <w:t>3、提升信息化对审计工作支撑能力</w:t>
      </w:r>
    </w:p>
    <w:p w14:paraId="1AD2842B">
      <w:pPr>
        <w:pStyle w:val="11"/>
        <w:rPr>
          <w:rFonts w:hint="eastAsia" w:ascii="仿宋" w:hAnsi="仿宋" w:eastAsia="仿宋" w:cs="仿宋"/>
          <w:b w:val="0"/>
          <w:bCs w:val="0"/>
          <w:kern w:val="2"/>
          <w:sz w:val="32"/>
          <w:szCs w:val="32"/>
          <w:lang w:val="en-US" w:eastAsia="zh-CN" w:bidi="ar-SA"/>
        </w:rPr>
      </w:pPr>
      <w:r>
        <w:rPr>
          <w:rFonts w:hint="eastAsia" w:ascii="仿宋" w:hAnsi="仿宋" w:eastAsia="仿宋" w:cs="仿宋"/>
          <w:b w:val="0"/>
          <w:bCs w:val="0"/>
          <w:kern w:val="2"/>
          <w:sz w:val="32"/>
          <w:szCs w:val="32"/>
          <w:lang w:val="en-US" w:eastAsia="zh-CN" w:bidi="ar-SA"/>
        </w:rPr>
        <w:t>绩效目标：完善审计专网功能,实现市、县联网；依托审计综合作业平台和数据平台,实现数据共享；通过审计数据化指挥系统,充分发挥审计的“抵御”和“预防”功能,实现审计上下“一体”； 推广“预算跟踪+联网核查”的审计模式。</w:t>
      </w:r>
    </w:p>
    <w:p w14:paraId="6DA59047">
      <w:pPr>
        <w:pStyle w:val="11"/>
        <w:rPr>
          <w:rFonts w:hint="eastAsia" w:ascii="仿宋" w:hAnsi="仿宋" w:eastAsia="仿宋" w:cs="仿宋"/>
          <w:b w:val="0"/>
          <w:bCs w:val="0"/>
          <w:kern w:val="2"/>
          <w:sz w:val="32"/>
          <w:szCs w:val="32"/>
          <w:lang w:val="en-US" w:eastAsia="zh-CN" w:bidi="ar-SA"/>
        </w:rPr>
      </w:pPr>
      <w:r>
        <w:rPr>
          <w:rFonts w:hint="eastAsia" w:ascii="仿宋" w:hAnsi="仿宋" w:eastAsia="仿宋" w:cs="仿宋"/>
          <w:b w:val="0"/>
          <w:bCs w:val="0"/>
          <w:kern w:val="2"/>
          <w:sz w:val="32"/>
          <w:szCs w:val="32"/>
          <w:lang w:val="en-US" w:eastAsia="zh-CN" w:bidi="ar-SA"/>
        </w:rPr>
        <w:t>绩效指标：实现网络通联率达到80%以上,计算机技术应用覆盖率 80%以上,一级预算单位财务数据分析完成率70%以上。</w:t>
      </w:r>
    </w:p>
    <w:p w14:paraId="7553B676">
      <w:pPr>
        <w:numPr>
          <w:ilvl w:val="0"/>
          <w:numId w:val="0"/>
        </w:numPr>
        <w:spacing w:line="560" w:lineRule="exact"/>
        <w:ind w:firstLine="640" w:firstLineChars="200"/>
        <w:rPr>
          <w:rFonts w:hint="eastAsia" w:ascii="仿宋" w:hAnsi="仿宋" w:eastAsia="仿宋" w:cs="仿宋"/>
          <w:b w:val="0"/>
          <w:bCs w:val="0"/>
          <w:kern w:val="2"/>
          <w:sz w:val="32"/>
          <w:szCs w:val="32"/>
          <w:lang w:val="en-US" w:eastAsia="zh-CN" w:bidi="ar-SA"/>
        </w:rPr>
      </w:pPr>
      <w:r>
        <w:rPr>
          <w:rFonts w:hint="eastAsia" w:ascii="仿宋" w:hAnsi="仿宋" w:eastAsia="仿宋" w:cs="仿宋"/>
          <w:b w:val="0"/>
          <w:bCs w:val="0"/>
          <w:kern w:val="2"/>
          <w:sz w:val="32"/>
          <w:szCs w:val="32"/>
          <w:lang w:val="en-US" w:eastAsia="zh-CN" w:bidi="ar-SA"/>
        </w:rPr>
        <w:t xml:space="preserve">3.提升信息化对审计工作支撑能力 </w:t>
      </w:r>
    </w:p>
    <w:p w14:paraId="4B60C4A7">
      <w:pPr>
        <w:numPr>
          <w:ilvl w:val="0"/>
          <w:numId w:val="0"/>
        </w:numPr>
        <w:spacing w:line="560" w:lineRule="exact"/>
        <w:ind w:firstLine="640" w:firstLineChars="200"/>
        <w:rPr>
          <w:rFonts w:hint="eastAsia" w:ascii="仿宋" w:hAnsi="仿宋" w:eastAsia="仿宋" w:cs="仿宋"/>
          <w:b w:val="0"/>
          <w:bCs w:val="0"/>
          <w:kern w:val="2"/>
          <w:sz w:val="32"/>
          <w:szCs w:val="32"/>
          <w:lang w:val="en-US" w:eastAsia="zh-CN" w:bidi="ar-SA"/>
        </w:rPr>
      </w:pPr>
      <w:r>
        <w:rPr>
          <w:rFonts w:hint="eastAsia" w:ascii="仿宋" w:hAnsi="仿宋" w:eastAsia="仿宋" w:cs="仿宋"/>
          <w:b w:val="0"/>
          <w:bCs w:val="0"/>
          <w:kern w:val="2"/>
          <w:sz w:val="32"/>
          <w:szCs w:val="32"/>
          <w:lang w:val="en-US" w:eastAsia="zh-CN" w:bidi="ar-SA"/>
        </w:rPr>
        <w:t xml:space="preserve">绩效目标：完善审计专网功能，实现市、县联网；依托审计综合作业平台和数据平台，实现数据共享；通过审计数据化指挥系统，充分发挥审计的“抵御”和“预防”功能，实现审计上下“一体”；推广“预算跟踪+联网核查”的审计模式。 </w:t>
      </w:r>
    </w:p>
    <w:p w14:paraId="26015771">
      <w:pPr>
        <w:numPr>
          <w:ilvl w:val="0"/>
          <w:numId w:val="0"/>
        </w:numPr>
        <w:spacing w:line="560" w:lineRule="exact"/>
        <w:ind w:firstLine="640" w:firstLineChars="200"/>
        <w:rPr>
          <w:rFonts w:hint="eastAsia" w:ascii="仿宋" w:hAnsi="仿宋" w:eastAsia="仿宋" w:cs="仿宋"/>
          <w:b w:val="0"/>
          <w:bCs w:val="0"/>
          <w:kern w:val="2"/>
          <w:sz w:val="32"/>
          <w:szCs w:val="32"/>
          <w:lang w:val="en-US" w:eastAsia="zh-CN" w:bidi="ar-SA"/>
        </w:rPr>
      </w:pPr>
      <w:r>
        <w:rPr>
          <w:rFonts w:hint="eastAsia" w:ascii="仿宋" w:hAnsi="仿宋" w:eastAsia="仿宋" w:cs="仿宋"/>
          <w:b w:val="0"/>
          <w:bCs w:val="0"/>
          <w:kern w:val="2"/>
          <w:sz w:val="32"/>
          <w:szCs w:val="32"/>
          <w:lang w:val="en-US" w:eastAsia="zh-CN" w:bidi="ar-SA"/>
        </w:rPr>
        <w:t>绩效指标：实现网络通联率达到80%以上，计算机技术应用覆盖 率80%以上，一级预算单位财务数据分析完成率70%以上。</w:t>
      </w:r>
    </w:p>
    <w:p w14:paraId="7800C1FB">
      <w:pPr>
        <w:numPr>
          <w:ilvl w:val="0"/>
          <w:numId w:val="4"/>
        </w:numPr>
        <w:spacing w:line="560" w:lineRule="exact"/>
        <w:ind w:left="-13" w:leftChars="0" w:firstLine="643" w:firstLineChars="0"/>
        <w:rPr>
          <w:rFonts w:hint="eastAsia" w:ascii="仿宋" w:hAnsi="仿宋" w:eastAsia="仿宋" w:cs="楷体_GB2312"/>
          <w:b/>
          <w:bCs/>
          <w:sz w:val="32"/>
          <w:szCs w:val="32"/>
          <w:lang w:val="en-US" w:eastAsia="zh-CN"/>
        </w:rPr>
      </w:pPr>
      <w:r>
        <w:rPr>
          <w:rFonts w:hint="eastAsia" w:ascii="仿宋" w:hAnsi="仿宋" w:eastAsia="仿宋" w:cs="楷体_GB2312"/>
          <w:b/>
          <w:bCs/>
          <w:sz w:val="32"/>
          <w:szCs w:val="32"/>
          <w:lang w:val="en-US" w:eastAsia="zh-CN"/>
        </w:rPr>
        <w:t>工作保障措施</w:t>
      </w:r>
    </w:p>
    <w:p w14:paraId="5A28D76F">
      <w:pPr>
        <w:numPr>
          <w:ilvl w:val="0"/>
          <w:numId w:val="0"/>
        </w:numPr>
        <w:spacing w:line="560" w:lineRule="exact"/>
        <w:ind w:firstLine="640" w:firstLineChars="200"/>
        <w:rPr>
          <w:rFonts w:hint="eastAsia" w:ascii="仿宋" w:hAnsi="仿宋" w:eastAsia="仿宋" w:cs="楷体_GB2312"/>
          <w:b w:val="0"/>
          <w:bCs w:val="0"/>
          <w:sz w:val="32"/>
          <w:szCs w:val="32"/>
          <w:lang w:val="en-US" w:eastAsia="zh-CN"/>
        </w:rPr>
      </w:pPr>
      <w:r>
        <w:rPr>
          <w:rFonts w:hint="eastAsia" w:ascii="仿宋" w:hAnsi="仿宋" w:eastAsia="仿宋" w:cs="楷体_GB2312"/>
          <w:b w:val="0"/>
          <w:bCs w:val="0"/>
          <w:sz w:val="32"/>
          <w:szCs w:val="32"/>
          <w:lang w:val="en-US" w:eastAsia="zh-CN"/>
        </w:rPr>
        <w:t xml:space="preserve">1.完善制度建设。制定完善预算绩效管理制度、搭建绩效管理 运行体系，科学设定绩效指标和目标，从源头上保障绩效管理的有效落实，制定各类资金使用和管理办法，确保资金支出有序进行，为全年预算绩效目标的实现奠定制度基础。 </w:t>
      </w:r>
    </w:p>
    <w:p w14:paraId="254E4AF0">
      <w:pPr>
        <w:numPr>
          <w:ilvl w:val="0"/>
          <w:numId w:val="0"/>
        </w:numPr>
        <w:spacing w:line="560" w:lineRule="exact"/>
        <w:ind w:firstLine="640" w:firstLineChars="200"/>
        <w:rPr>
          <w:rFonts w:hint="eastAsia" w:ascii="仿宋" w:hAnsi="仿宋" w:eastAsia="仿宋" w:cs="楷体_GB2312"/>
          <w:b w:val="0"/>
          <w:bCs w:val="0"/>
          <w:sz w:val="32"/>
          <w:szCs w:val="32"/>
          <w:lang w:val="en-US" w:eastAsia="zh-CN"/>
        </w:rPr>
      </w:pPr>
      <w:r>
        <w:rPr>
          <w:rFonts w:hint="eastAsia" w:ascii="仿宋" w:hAnsi="仿宋" w:eastAsia="仿宋" w:cs="楷体_GB2312"/>
          <w:b w:val="0"/>
          <w:bCs w:val="0"/>
          <w:sz w:val="32"/>
          <w:szCs w:val="32"/>
          <w:lang w:val="en-US" w:eastAsia="zh-CN"/>
        </w:rPr>
        <w:t xml:space="preserve">2.加强支出管理。按照“谁花钱、谁负责、谁举证”的原则,明确各处室预算绩效管理职责。各处室配合办公室开展管管项目及内容的预算绩效具体管理工作，实现花钱必问效，确保财务与业务工作紧密衔接。各处室按规定对申请新增重大专项开展事前绩效评估，科学设定专项资金绩效目标、预算项目绩效目标，按要求积极开展预算绩效中期评估、终极绩效评价，根据评价结果进行整改,确保绩效目标顺利实现。 </w:t>
      </w:r>
    </w:p>
    <w:p w14:paraId="7561D35E">
      <w:pPr>
        <w:numPr>
          <w:ilvl w:val="0"/>
          <w:numId w:val="0"/>
        </w:numPr>
        <w:spacing w:line="560" w:lineRule="exact"/>
        <w:ind w:firstLine="640" w:firstLineChars="200"/>
        <w:rPr>
          <w:rFonts w:hint="eastAsia" w:ascii="仿宋" w:hAnsi="仿宋" w:eastAsia="仿宋" w:cs="楷体_GB2312"/>
          <w:b w:val="0"/>
          <w:bCs w:val="0"/>
          <w:sz w:val="32"/>
          <w:szCs w:val="32"/>
          <w:lang w:val="en-US" w:eastAsia="zh-CN"/>
        </w:rPr>
      </w:pPr>
      <w:r>
        <w:rPr>
          <w:rFonts w:hint="eastAsia" w:ascii="仿宋" w:hAnsi="仿宋" w:eastAsia="仿宋" w:cs="楷体_GB2312"/>
          <w:b w:val="0"/>
          <w:bCs w:val="0"/>
          <w:sz w:val="32"/>
          <w:szCs w:val="32"/>
          <w:lang w:val="en-US" w:eastAsia="zh-CN"/>
        </w:rPr>
        <w:t xml:space="preserve">3.加强绩效运行监控。按要求开展绩效运行监控，全程跟踪预算执行进度，对执行中发现问题及时采取措施，确保绩效目标如期保质实现。 </w:t>
      </w:r>
    </w:p>
    <w:p w14:paraId="45EC084C">
      <w:pPr>
        <w:numPr>
          <w:ilvl w:val="0"/>
          <w:numId w:val="0"/>
        </w:numPr>
        <w:spacing w:line="560" w:lineRule="exact"/>
        <w:ind w:firstLine="640" w:firstLineChars="200"/>
        <w:rPr>
          <w:rFonts w:hint="eastAsia" w:ascii="仿宋" w:hAnsi="仿宋" w:eastAsia="仿宋" w:cs="楷体_GB2312"/>
          <w:b w:val="0"/>
          <w:bCs w:val="0"/>
          <w:sz w:val="32"/>
          <w:szCs w:val="32"/>
          <w:lang w:val="en-US" w:eastAsia="zh-CN"/>
        </w:rPr>
      </w:pPr>
      <w:r>
        <w:rPr>
          <w:rFonts w:hint="eastAsia" w:ascii="仿宋" w:hAnsi="仿宋" w:eastAsia="仿宋" w:cs="楷体_GB2312"/>
          <w:b w:val="0"/>
          <w:bCs w:val="0"/>
          <w:sz w:val="32"/>
          <w:szCs w:val="32"/>
          <w:lang w:val="en-US" w:eastAsia="zh-CN"/>
        </w:rPr>
        <w:t xml:space="preserve">4.做好绩效自评。按要求积极开展年度部门预算绩效自评工作，对自评中发现的问题及时整改解决，开展重点项目评价工作，调整优化重大项目支调整优化支出结构，提高财政资金使用效益。 </w:t>
      </w:r>
    </w:p>
    <w:p w14:paraId="07877DC9">
      <w:pPr>
        <w:numPr>
          <w:ilvl w:val="0"/>
          <w:numId w:val="0"/>
        </w:numPr>
        <w:spacing w:line="560" w:lineRule="exact"/>
        <w:ind w:firstLine="640" w:firstLineChars="200"/>
        <w:rPr>
          <w:rFonts w:hint="eastAsia" w:ascii="仿宋" w:hAnsi="仿宋" w:eastAsia="仿宋" w:cs="楷体_GB2312"/>
          <w:b w:val="0"/>
          <w:bCs w:val="0"/>
          <w:sz w:val="32"/>
          <w:szCs w:val="32"/>
          <w:lang w:val="en-US" w:eastAsia="zh-CN"/>
        </w:rPr>
      </w:pPr>
      <w:r>
        <w:rPr>
          <w:rFonts w:hint="eastAsia" w:ascii="仿宋" w:hAnsi="仿宋" w:eastAsia="仿宋" w:cs="楷体_GB2312"/>
          <w:b w:val="0"/>
          <w:bCs w:val="0"/>
          <w:sz w:val="32"/>
          <w:szCs w:val="32"/>
          <w:lang w:val="en-US" w:eastAsia="zh-CN"/>
        </w:rPr>
        <w:t xml:space="preserve">5.规范财务资产管理。加强会计核算工作，严格执行财务资产管理相关制度，确保账面数字真实、完整，加强程序管理，严格审批程序，依照政府采购目录进行政府采购，加强固定资产登记、使用和报废处置管理，做到支出合理，物尽其用。 </w:t>
      </w:r>
    </w:p>
    <w:p w14:paraId="0183B7F2">
      <w:pPr>
        <w:numPr>
          <w:ilvl w:val="0"/>
          <w:numId w:val="0"/>
        </w:numPr>
        <w:spacing w:line="560" w:lineRule="exact"/>
        <w:ind w:firstLine="640" w:firstLineChars="200"/>
        <w:rPr>
          <w:rFonts w:hint="eastAsia" w:ascii="仿宋" w:hAnsi="仿宋" w:eastAsia="仿宋" w:cs="楷体_GB2312"/>
          <w:b w:val="0"/>
          <w:bCs w:val="0"/>
          <w:sz w:val="32"/>
          <w:szCs w:val="32"/>
          <w:lang w:val="en-US" w:eastAsia="zh-CN"/>
        </w:rPr>
      </w:pPr>
      <w:r>
        <w:rPr>
          <w:rFonts w:hint="eastAsia" w:ascii="仿宋" w:hAnsi="仿宋" w:eastAsia="仿宋" w:cs="楷体_GB2312"/>
          <w:b w:val="0"/>
          <w:bCs w:val="0"/>
          <w:sz w:val="32"/>
          <w:szCs w:val="32"/>
          <w:lang w:val="en-US" w:eastAsia="zh-CN"/>
        </w:rPr>
        <w:t xml:space="preserve">6.加强内部监督。注重内部监督制度建设，对绩效运行情况、 重大支出决策等重要项目支出的决策和执行进行督导，对会计资料 进行内部审计，并配合做上级审计部门、财政纪委监督工作，确保财政资金安全有效，最大限度发挥财政资金使用效益。 </w:t>
      </w:r>
    </w:p>
    <w:p w14:paraId="0263F7AA">
      <w:pPr>
        <w:numPr>
          <w:ilvl w:val="0"/>
          <w:numId w:val="0"/>
        </w:numPr>
        <w:spacing w:line="560" w:lineRule="exact"/>
        <w:ind w:firstLine="640" w:firstLineChars="200"/>
        <w:rPr>
          <w:rFonts w:hint="eastAsia"/>
          <w:sz w:val="28"/>
        </w:rPr>
      </w:pPr>
      <w:r>
        <w:rPr>
          <w:rFonts w:hint="eastAsia" w:ascii="仿宋" w:hAnsi="仿宋" w:eastAsia="仿宋" w:cs="楷体_GB2312"/>
          <w:b w:val="0"/>
          <w:bCs w:val="0"/>
          <w:sz w:val="32"/>
          <w:szCs w:val="32"/>
          <w:lang w:val="en-US" w:eastAsia="zh-CN"/>
        </w:rPr>
        <w:t>7.加强审计干部队伍建设。进一步加强干部队伍建设。不断强化审计机关自身建设，落实“三立”要求，一方面，加强廉政风险防控，强化对审计干部的日常教育和监督，持续转变工作作风，严格执行临时党小组制度。另一方面，加大培训力度，扩大培训覆盖面，提高培训效率，同时，注重调查研究，努力建设学习型审计机关，打造信念坚定、业务精通、作风务实、清正廉洁的高素质专业化审计队伍。</w:t>
      </w:r>
    </w:p>
    <w:p w14:paraId="39A16765">
      <w:pPr>
        <w:spacing w:line="560" w:lineRule="exact"/>
        <w:ind w:firstLine="640" w:firstLineChars="200"/>
        <w:rPr>
          <w:rFonts w:ascii="黑体" w:hAnsi="黑体" w:eastAsia="黑体"/>
          <w:sz w:val="32"/>
          <w:szCs w:val="32"/>
        </w:rPr>
      </w:pPr>
      <w:r>
        <w:rPr>
          <w:rFonts w:hint="eastAsia" w:ascii="黑体" w:hAnsi="黑体" w:eastAsia="黑体"/>
          <w:sz w:val="32"/>
          <w:szCs w:val="32"/>
        </w:rPr>
        <w:t>四、评价结论和评价等级</w:t>
      </w:r>
    </w:p>
    <w:p w14:paraId="0446041A">
      <w:pPr>
        <w:spacing w:line="560" w:lineRule="exact"/>
        <w:ind w:firstLine="640" w:firstLineChars="200"/>
        <w:rPr>
          <w:rFonts w:hint="eastAsia" w:ascii="仿宋" w:hAnsi="仿宋" w:eastAsia="仿宋"/>
          <w:sz w:val="32"/>
          <w:szCs w:val="32"/>
          <w:lang w:eastAsia="zh-CN"/>
        </w:rPr>
      </w:pPr>
      <w:r>
        <w:rPr>
          <w:rFonts w:hint="eastAsia" w:ascii="仿宋" w:hAnsi="仿宋" w:eastAsia="仿宋"/>
          <w:sz w:val="32"/>
          <w:szCs w:val="32"/>
          <w:lang w:eastAsia="zh-CN"/>
        </w:rPr>
        <w:t>从上述绩效指标实现程度可以看出，202</w:t>
      </w:r>
      <w:r>
        <w:rPr>
          <w:rFonts w:hint="eastAsia" w:ascii="仿宋" w:hAnsi="仿宋" w:eastAsia="仿宋"/>
          <w:sz w:val="32"/>
          <w:szCs w:val="32"/>
          <w:lang w:val="en-US" w:eastAsia="zh-CN"/>
        </w:rPr>
        <w:t>5</w:t>
      </w:r>
      <w:r>
        <w:rPr>
          <w:rFonts w:hint="eastAsia" w:ascii="仿宋" w:hAnsi="仿宋" w:eastAsia="仿宋"/>
          <w:sz w:val="32"/>
          <w:szCs w:val="32"/>
          <w:lang w:eastAsia="zh-CN"/>
        </w:rPr>
        <w:t>年元氏县审计局总体绩效目标、各分项绩效目标及绩效指标均圆满完成。整体支出绩效自评结果为优秀等级。</w:t>
      </w:r>
    </w:p>
    <w:p w14:paraId="576166AD">
      <w:pPr>
        <w:spacing w:line="560" w:lineRule="exact"/>
        <w:ind w:firstLine="640" w:firstLineChars="200"/>
        <w:rPr>
          <w:rFonts w:ascii="黑体" w:hAnsi="黑体" w:eastAsia="黑体"/>
          <w:sz w:val="32"/>
          <w:szCs w:val="32"/>
        </w:rPr>
      </w:pPr>
      <w:r>
        <w:rPr>
          <w:rFonts w:hint="eastAsia" w:ascii="黑体" w:hAnsi="黑体" w:eastAsia="黑体"/>
          <w:sz w:val="32"/>
          <w:szCs w:val="32"/>
        </w:rPr>
        <w:t>五、存在的问题及改进措施</w:t>
      </w:r>
    </w:p>
    <w:p w14:paraId="7E6434A9">
      <w:pPr>
        <w:spacing w:line="560" w:lineRule="exact"/>
        <w:ind w:firstLine="643" w:firstLineChars="200"/>
        <w:rPr>
          <w:rFonts w:hint="eastAsia" w:ascii="仿宋" w:hAnsi="仿宋" w:eastAsia="仿宋"/>
          <w:b w:val="0"/>
          <w:bCs w:val="0"/>
          <w:sz w:val="32"/>
          <w:szCs w:val="32"/>
        </w:rPr>
      </w:pPr>
      <w:r>
        <w:rPr>
          <w:rFonts w:hint="eastAsia" w:ascii="仿宋" w:hAnsi="仿宋" w:eastAsia="仿宋"/>
          <w:b/>
          <w:bCs/>
          <w:sz w:val="32"/>
          <w:szCs w:val="32"/>
        </w:rPr>
        <w:t>建议</w:t>
      </w:r>
      <w:r>
        <w:rPr>
          <w:rFonts w:hint="eastAsia" w:ascii="仿宋" w:hAnsi="仿宋" w:eastAsia="仿宋"/>
          <w:b w:val="0"/>
          <w:bCs w:val="0"/>
          <w:sz w:val="32"/>
          <w:szCs w:val="32"/>
          <w:lang w:eastAsia="zh-CN"/>
        </w:rPr>
        <w:t>：县</w:t>
      </w:r>
      <w:r>
        <w:rPr>
          <w:rFonts w:hint="eastAsia" w:ascii="仿宋" w:hAnsi="仿宋" w:eastAsia="仿宋"/>
          <w:b w:val="0"/>
          <w:bCs w:val="0"/>
          <w:sz w:val="32"/>
          <w:szCs w:val="32"/>
        </w:rPr>
        <w:t>财政加大对</w:t>
      </w:r>
      <w:r>
        <w:rPr>
          <w:rFonts w:hint="eastAsia" w:ascii="仿宋" w:hAnsi="仿宋" w:eastAsia="仿宋"/>
          <w:b w:val="0"/>
          <w:bCs w:val="0"/>
          <w:sz w:val="32"/>
          <w:szCs w:val="32"/>
          <w:lang w:eastAsia="zh-CN"/>
        </w:rPr>
        <w:t>审计</w:t>
      </w:r>
      <w:r>
        <w:rPr>
          <w:rFonts w:hint="eastAsia" w:ascii="仿宋" w:hAnsi="仿宋" w:eastAsia="仿宋"/>
          <w:b w:val="0"/>
          <w:bCs w:val="0"/>
          <w:sz w:val="32"/>
          <w:szCs w:val="32"/>
        </w:rPr>
        <w:t>工作的资金支持力度，强化整体支出绩效管理，</w:t>
      </w:r>
      <w:r>
        <w:rPr>
          <w:rFonts w:hint="eastAsia" w:ascii="仿宋" w:hAnsi="仿宋" w:eastAsia="仿宋"/>
          <w:b w:val="0"/>
          <w:bCs w:val="0"/>
          <w:sz w:val="32"/>
          <w:szCs w:val="32"/>
          <w:lang w:eastAsia="zh-CN"/>
        </w:rPr>
        <w:t>提升审计项目质量</w:t>
      </w:r>
      <w:r>
        <w:rPr>
          <w:rFonts w:hint="eastAsia" w:ascii="仿宋" w:hAnsi="仿宋" w:eastAsia="仿宋"/>
          <w:b w:val="0"/>
          <w:bCs w:val="0"/>
          <w:sz w:val="32"/>
          <w:szCs w:val="32"/>
        </w:rPr>
        <w:t>。</w:t>
      </w:r>
    </w:p>
    <w:p w14:paraId="121B5FB4">
      <w:pPr>
        <w:spacing w:line="560" w:lineRule="exact"/>
        <w:ind w:firstLine="643" w:firstLineChars="200"/>
        <w:rPr>
          <w:rFonts w:hint="eastAsia" w:ascii="仿宋" w:hAnsi="仿宋" w:eastAsia="仿宋"/>
          <w:b w:val="0"/>
          <w:bCs w:val="0"/>
          <w:sz w:val="32"/>
          <w:szCs w:val="32"/>
        </w:rPr>
      </w:pPr>
      <w:r>
        <w:rPr>
          <w:rFonts w:hint="eastAsia" w:ascii="仿宋" w:hAnsi="仿宋" w:eastAsia="仿宋"/>
          <w:b/>
          <w:bCs/>
          <w:sz w:val="32"/>
          <w:szCs w:val="32"/>
        </w:rPr>
        <w:t>改进措施</w:t>
      </w:r>
      <w:r>
        <w:rPr>
          <w:rFonts w:hint="eastAsia" w:ascii="仿宋" w:hAnsi="仿宋" w:eastAsia="仿宋"/>
          <w:b w:val="0"/>
          <w:bCs w:val="0"/>
          <w:sz w:val="32"/>
          <w:szCs w:val="32"/>
        </w:rPr>
        <w:t>：一是加强绩效目标的刚性约束，把绩效评价</w:t>
      </w:r>
    </w:p>
    <w:p w14:paraId="0B401210">
      <w:pPr>
        <w:spacing w:line="560" w:lineRule="exact"/>
        <w:rPr>
          <w:rFonts w:hint="eastAsia" w:ascii="仿宋" w:hAnsi="仿宋" w:eastAsia="仿宋"/>
          <w:b w:val="0"/>
          <w:bCs w:val="0"/>
          <w:sz w:val="32"/>
          <w:szCs w:val="32"/>
        </w:rPr>
      </w:pPr>
      <w:r>
        <w:rPr>
          <w:rFonts w:hint="eastAsia" w:ascii="仿宋" w:hAnsi="仿宋" w:eastAsia="仿宋"/>
          <w:b w:val="0"/>
          <w:bCs w:val="0"/>
          <w:sz w:val="32"/>
          <w:szCs w:val="32"/>
        </w:rPr>
        <w:t>结果作为衡量部门整体绩效目标实现情况和工作完成情况的重要依据；二是加强对绩效的全程跟踪定期对绩效目标执行情况进行跟踪分析，及时发现、解决存在的问题：三是要加强绩效评价结果应用，把绩效评价结果作为加强改进管理、调整资金支出方向和安排下一年度预算的重要依据。</w:t>
      </w:r>
    </w:p>
    <w:p w14:paraId="3E2589BB">
      <w:pPr>
        <w:numPr>
          <w:ilvl w:val="0"/>
          <w:numId w:val="5"/>
        </w:numPr>
        <w:adjustRightInd w:val="0"/>
        <w:snapToGrid w:val="0"/>
        <w:spacing w:line="560" w:lineRule="exact"/>
        <w:ind w:firstLine="640" w:firstLineChars="200"/>
        <w:rPr>
          <w:rFonts w:hint="eastAsia" w:ascii="黑体" w:hAnsi="黑体" w:eastAsia="黑体" w:cs="黑体"/>
          <w:sz w:val="32"/>
          <w:szCs w:val="32"/>
        </w:rPr>
      </w:pPr>
      <w:r>
        <w:rPr>
          <w:rFonts w:hint="eastAsia" w:ascii="黑体" w:hAnsi="黑体" w:eastAsia="黑体" w:cs="黑体"/>
          <w:sz w:val="32"/>
          <w:szCs w:val="32"/>
        </w:rPr>
        <w:t>评价工作组人员名单及签字</w:t>
      </w:r>
    </w:p>
    <w:tbl>
      <w:tblPr>
        <w:tblStyle w:val="5"/>
        <w:tblpPr w:leftFromText="180" w:rightFromText="180" w:vertAnchor="text" w:horzAnchor="page" w:tblpX="1471" w:tblpY="174"/>
        <w:tblOverlap w:val="never"/>
        <w:tblW w:w="8975"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21"/>
        <w:gridCol w:w="1286"/>
        <w:gridCol w:w="2929"/>
        <w:gridCol w:w="2589"/>
        <w:gridCol w:w="1250"/>
      </w:tblGrid>
      <w:tr w14:paraId="10AD4C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9" w:hRule="atLeast"/>
        </w:trPr>
        <w:tc>
          <w:tcPr>
            <w:tcW w:w="921" w:type="dxa"/>
          </w:tcPr>
          <w:p w14:paraId="361947CF">
            <w:pPr>
              <w:keepNext w:val="0"/>
              <w:keepLines w:val="0"/>
              <w:suppressLineNumbers w:val="0"/>
              <w:spacing w:before="0" w:beforeAutospacing="0" w:after="0" w:afterAutospacing="0"/>
              <w:ind w:left="0" w:right="0"/>
              <w:jc w:val="both"/>
              <w:rPr>
                <w:rFonts w:hint="eastAsia" w:ascii="仿宋" w:hAnsi="仿宋" w:eastAsia="仿宋" w:cs="仿宋"/>
                <w:sz w:val="32"/>
                <w:szCs w:val="32"/>
                <w:vertAlign w:val="baseline"/>
                <w:lang w:val="en-US" w:eastAsia="zh-CN"/>
              </w:rPr>
            </w:pPr>
            <w:r>
              <w:rPr>
                <w:rFonts w:hint="eastAsia" w:ascii="仿宋" w:hAnsi="仿宋" w:eastAsia="仿宋" w:cs="仿宋"/>
                <w:sz w:val="32"/>
                <w:szCs w:val="32"/>
                <w:vertAlign w:val="baseline"/>
                <w:lang w:val="en-US" w:eastAsia="zh-CN"/>
              </w:rPr>
              <w:t>序号</w:t>
            </w:r>
          </w:p>
        </w:tc>
        <w:tc>
          <w:tcPr>
            <w:tcW w:w="1286" w:type="dxa"/>
          </w:tcPr>
          <w:p w14:paraId="51E4A534">
            <w:pPr>
              <w:keepNext w:val="0"/>
              <w:keepLines w:val="0"/>
              <w:suppressLineNumbers w:val="0"/>
              <w:spacing w:before="0" w:beforeAutospacing="0" w:after="0" w:afterAutospacing="0"/>
              <w:ind w:left="0" w:right="0"/>
              <w:jc w:val="center"/>
              <w:rPr>
                <w:rFonts w:hint="eastAsia" w:ascii="仿宋" w:hAnsi="仿宋" w:eastAsia="仿宋" w:cs="仿宋"/>
                <w:sz w:val="32"/>
                <w:szCs w:val="32"/>
                <w:vertAlign w:val="baseline"/>
                <w:lang w:eastAsia="zh-CN"/>
              </w:rPr>
            </w:pPr>
            <w:r>
              <w:rPr>
                <w:rFonts w:hint="eastAsia" w:ascii="仿宋" w:hAnsi="仿宋" w:eastAsia="仿宋" w:cs="仿宋"/>
                <w:sz w:val="32"/>
                <w:szCs w:val="32"/>
                <w:vertAlign w:val="baseline"/>
                <w:lang w:eastAsia="zh-CN"/>
              </w:rPr>
              <w:t>姓名</w:t>
            </w:r>
          </w:p>
        </w:tc>
        <w:tc>
          <w:tcPr>
            <w:tcW w:w="2929" w:type="dxa"/>
          </w:tcPr>
          <w:p w14:paraId="0DA65581">
            <w:pPr>
              <w:keepNext w:val="0"/>
              <w:keepLines w:val="0"/>
              <w:suppressLineNumbers w:val="0"/>
              <w:spacing w:before="0" w:beforeAutospacing="0" w:after="0" w:afterAutospacing="0"/>
              <w:ind w:left="0" w:right="0"/>
              <w:jc w:val="center"/>
              <w:rPr>
                <w:rFonts w:hint="eastAsia" w:ascii="仿宋" w:hAnsi="仿宋" w:eastAsia="仿宋" w:cs="仿宋"/>
                <w:sz w:val="32"/>
                <w:szCs w:val="32"/>
                <w:vertAlign w:val="baseline"/>
                <w:lang w:eastAsia="zh-CN"/>
              </w:rPr>
            </w:pPr>
            <w:r>
              <w:rPr>
                <w:rFonts w:hint="eastAsia" w:ascii="仿宋" w:hAnsi="仿宋" w:eastAsia="仿宋" w:cs="仿宋"/>
                <w:sz w:val="32"/>
                <w:szCs w:val="32"/>
                <w:vertAlign w:val="baseline"/>
                <w:lang w:eastAsia="zh-CN"/>
              </w:rPr>
              <w:t>工作单位</w:t>
            </w:r>
          </w:p>
        </w:tc>
        <w:tc>
          <w:tcPr>
            <w:tcW w:w="2589" w:type="dxa"/>
          </w:tcPr>
          <w:p w14:paraId="4520D9CB">
            <w:pPr>
              <w:keepNext w:val="0"/>
              <w:keepLines w:val="0"/>
              <w:suppressLineNumbers w:val="0"/>
              <w:spacing w:before="0" w:beforeAutospacing="0" w:after="0" w:afterAutospacing="0"/>
              <w:ind w:left="0" w:right="0"/>
              <w:jc w:val="center"/>
              <w:rPr>
                <w:rFonts w:hint="eastAsia" w:ascii="仿宋" w:hAnsi="仿宋" w:eastAsia="仿宋" w:cs="仿宋"/>
                <w:sz w:val="32"/>
                <w:szCs w:val="32"/>
                <w:vertAlign w:val="baseline"/>
                <w:lang w:eastAsia="zh-CN"/>
              </w:rPr>
            </w:pPr>
            <w:r>
              <w:rPr>
                <w:rFonts w:hint="eastAsia" w:ascii="仿宋" w:hAnsi="仿宋" w:eastAsia="仿宋" w:cs="仿宋"/>
                <w:sz w:val="32"/>
                <w:szCs w:val="32"/>
                <w:vertAlign w:val="baseline"/>
                <w:lang w:eastAsia="zh-CN"/>
              </w:rPr>
              <w:t>职务</w:t>
            </w:r>
          </w:p>
        </w:tc>
        <w:tc>
          <w:tcPr>
            <w:tcW w:w="1250" w:type="dxa"/>
          </w:tcPr>
          <w:p w14:paraId="11CD9DC8">
            <w:pPr>
              <w:keepNext w:val="0"/>
              <w:keepLines w:val="0"/>
              <w:suppressLineNumbers w:val="0"/>
              <w:spacing w:before="0" w:beforeAutospacing="0" w:after="0" w:afterAutospacing="0"/>
              <w:ind w:left="0" w:right="0"/>
              <w:jc w:val="center"/>
              <w:rPr>
                <w:rFonts w:hint="eastAsia" w:ascii="仿宋" w:hAnsi="仿宋" w:eastAsia="仿宋" w:cs="仿宋"/>
                <w:sz w:val="32"/>
                <w:szCs w:val="32"/>
                <w:vertAlign w:val="baseline"/>
                <w:lang w:eastAsia="zh-CN"/>
              </w:rPr>
            </w:pPr>
            <w:r>
              <w:rPr>
                <w:rFonts w:hint="eastAsia" w:ascii="仿宋" w:hAnsi="仿宋" w:eastAsia="仿宋" w:cs="仿宋"/>
                <w:sz w:val="32"/>
                <w:szCs w:val="32"/>
                <w:vertAlign w:val="baseline"/>
                <w:lang w:eastAsia="zh-CN"/>
              </w:rPr>
              <w:t>签名</w:t>
            </w:r>
          </w:p>
        </w:tc>
      </w:tr>
      <w:tr w14:paraId="0E449A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9" w:hRule="atLeast"/>
        </w:trPr>
        <w:tc>
          <w:tcPr>
            <w:tcW w:w="921" w:type="dxa"/>
          </w:tcPr>
          <w:p w14:paraId="1B59DA2F">
            <w:pPr>
              <w:keepNext w:val="0"/>
              <w:keepLines w:val="0"/>
              <w:suppressLineNumbers w:val="0"/>
              <w:spacing w:before="0" w:beforeAutospacing="0" w:after="0" w:afterAutospacing="0"/>
              <w:ind w:left="0" w:right="0"/>
              <w:jc w:val="center"/>
              <w:rPr>
                <w:rFonts w:hint="eastAsia" w:ascii="仿宋" w:hAnsi="仿宋" w:eastAsia="仿宋" w:cs="仿宋"/>
                <w:sz w:val="32"/>
                <w:szCs w:val="32"/>
                <w:vertAlign w:val="baseline"/>
                <w:lang w:val="en-US" w:eastAsia="zh-CN"/>
              </w:rPr>
            </w:pPr>
            <w:r>
              <w:rPr>
                <w:rFonts w:hint="eastAsia" w:ascii="仿宋" w:hAnsi="仿宋" w:eastAsia="仿宋" w:cs="仿宋"/>
                <w:sz w:val="32"/>
                <w:szCs w:val="32"/>
                <w:vertAlign w:val="baseline"/>
                <w:lang w:val="en-US" w:eastAsia="zh-CN"/>
              </w:rPr>
              <w:t>1</w:t>
            </w:r>
          </w:p>
        </w:tc>
        <w:tc>
          <w:tcPr>
            <w:tcW w:w="1286" w:type="dxa"/>
          </w:tcPr>
          <w:p w14:paraId="267869DA">
            <w:pPr>
              <w:keepNext w:val="0"/>
              <w:keepLines w:val="0"/>
              <w:suppressLineNumbers w:val="0"/>
              <w:spacing w:before="0" w:beforeAutospacing="0" w:after="0" w:afterAutospacing="0"/>
              <w:ind w:left="0" w:right="0"/>
              <w:jc w:val="center"/>
              <w:rPr>
                <w:rFonts w:hint="eastAsia" w:ascii="仿宋" w:hAnsi="仿宋" w:eastAsia="仿宋" w:cs="仿宋"/>
                <w:sz w:val="32"/>
                <w:szCs w:val="32"/>
                <w:vertAlign w:val="baseline"/>
                <w:lang w:eastAsia="zh-CN"/>
              </w:rPr>
            </w:pPr>
            <w:r>
              <w:rPr>
                <w:rFonts w:hint="eastAsia" w:ascii="仿宋" w:hAnsi="仿宋" w:eastAsia="仿宋" w:cs="仿宋"/>
                <w:sz w:val="32"/>
                <w:szCs w:val="32"/>
                <w:vertAlign w:val="baseline"/>
                <w:lang w:eastAsia="zh-CN"/>
              </w:rPr>
              <w:t>武丽芬</w:t>
            </w:r>
          </w:p>
        </w:tc>
        <w:tc>
          <w:tcPr>
            <w:tcW w:w="2929" w:type="dxa"/>
          </w:tcPr>
          <w:p w14:paraId="263AF218">
            <w:pPr>
              <w:keepNext w:val="0"/>
              <w:keepLines w:val="0"/>
              <w:suppressLineNumbers w:val="0"/>
              <w:spacing w:before="0" w:beforeAutospacing="0" w:after="0" w:afterAutospacing="0"/>
              <w:ind w:left="0" w:right="0"/>
              <w:jc w:val="center"/>
              <w:rPr>
                <w:rFonts w:hint="eastAsia" w:ascii="仿宋" w:hAnsi="仿宋" w:eastAsia="仿宋" w:cs="仿宋"/>
                <w:sz w:val="32"/>
                <w:szCs w:val="32"/>
                <w:vertAlign w:val="baseline"/>
                <w:lang w:eastAsia="zh-CN"/>
              </w:rPr>
            </w:pPr>
            <w:r>
              <w:rPr>
                <w:rFonts w:hint="eastAsia" w:ascii="仿宋" w:hAnsi="仿宋" w:eastAsia="仿宋" w:cs="仿宋"/>
                <w:sz w:val="32"/>
                <w:szCs w:val="32"/>
                <w:vertAlign w:val="baseline"/>
                <w:lang w:eastAsia="zh-CN"/>
              </w:rPr>
              <w:t>元氏县审计局</w:t>
            </w:r>
          </w:p>
        </w:tc>
        <w:tc>
          <w:tcPr>
            <w:tcW w:w="2589" w:type="dxa"/>
          </w:tcPr>
          <w:p w14:paraId="06424BE6">
            <w:pPr>
              <w:keepNext w:val="0"/>
              <w:keepLines w:val="0"/>
              <w:suppressLineNumbers w:val="0"/>
              <w:spacing w:before="0" w:beforeAutospacing="0" w:after="0" w:afterAutospacing="0"/>
              <w:ind w:left="0" w:right="0"/>
              <w:jc w:val="center"/>
              <w:rPr>
                <w:rFonts w:hint="eastAsia" w:ascii="仿宋" w:hAnsi="仿宋" w:eastAsia="仿宋" w:cs="仿宋"/>
                <w:sz w:val="32"/>
                <w:szCs w:val="32"/>
                <w:vertAlign w:val="baseline"/>
                <w:lang w:eastAsia="zh-CN"/>
              </w:rPr>
            </w:pPr>
            <w:r>
              <w:rPr>
                <w:rFonts w:hint="eastAsia" w:ascii="仿宋" w:hAnsi="仿宋" w:eastAsia="仿宋" w:cs="仿宋"/>
                <w:sz w:val="32"/>
                <w:szCs w:val="32"/>
                <w:vertAlign w:val="baseline"/>
                <w:lang w:eastAsia="zh-CN"/>
              </w:rPr>
              <w:t>副局长</w:t>
            </w:r>
          </w:p>
        </w:tc>
        <w:tc>
          <w:tcPr>
            <w:tcW w:w="1250" w:type="dxa"/>
          </w:tcPr>
          <w:p w14:paraId="3637BD2F">
            <w:pPr>
              <w:keepNext w:val="0"/>
              <w:keepLines w:val="0"/>
              <w:suppressLineNumbers w:val="0"/>
              <w:spacing w:before="0" w:beforeAutospacing="0" w:after="0" w:afterAutospacing="0"/>
              <w:ind w:left="0" w:right="0"/>
              <w:jc w:val="center"/>
              <w:rPr>
                <w:rFonts w:hint="eastAsia" w:ascii="仿宋" w:hAnsi="仿宋" w:eastAsia="仿宋" w:cs="仿宋"/>
                <w:sz w:val="32"/>
                <w:szCs w:val="32"/>
                <w:vertAlign w:val="baseline"/>
              </w:rPr>
            </w:pPr>
          </w:p>
        </w:tc>
      </w:tr>
      <w:tr w14:paraId="117C89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9" w:hRule="atLeast"/>
        </w:trPr>
        <w:tc>
          <w:tcPr>
            <w:tcW w:w="921" w:type="dxa"/>
          </w:tcPr>
          <w:p w14:paraId="252B15AA">
            <w:pPr>
              <w:keepNext w:val="0"/>
              <w:keepLines w:val="0"/>
              <w:suppressLineNumbers w:val="0"/>
              <w:spacing w:before="0" w:beforeAutospacing="0" w:after="0" w:afterAutospacing="0"/>
              <w:ind w:left="0" w:right="0"/>
              <w:jc w:val="center"/>
              <w:rPr>
                <w:rFonts w:hint="eastAsia" w:ascii="仿宋" w:hAnsi="仿宋" w:eastAsia="仿宋" w:cs="仿宋"/>
                <w:sz w:val="32"/>
                <w:szCs w:val="32"/>
                <w:vertAlign w:val="baseline"/>
                <w:lang w:val="en-US" w:eastAsia="zh-CN"/>
              </w:rPr>
            </w:pPr>
            <w:r>
              <w:rPr>
                <w:rFonts w:hint="eastAsia" w:ascii="仿宋" w:hAnsi="仿宋" w:eastAsia="仿宋" w:cs="仿宋"/>
                <w:sz w:val="32"/>
                <w:szCs w:val="32"/>
                <w:vertAlign w:val="baseline"/>
                <w:lang w:val="en-US" w:eastAsia="zh-CN"/>
              </w:rPr>
              <w:t>2</w:t>
            </w:r>
          </w:p>
        </w:tc>
        <w:tc>
          <w:tcPr>
            <w:tcW w:w="1286" w:type="dxa"/>
          </w:tcPr>
          <w:p w14:paraId="1AE768A8">
            <w:pPr>
              <w:keepNext w:val="0"/>
              <w:keepLines w:val="0"/>
              <w:suppressLineNumbers w:val="0"/>
              <w:spacing w:before="0" w:beforeAutospacing="0" w:after="0" w:afterAutospacing="0"/>
              <w:ind w:left="0" w:right="0"/>
              <w:jc w:val="center"/>
              <w:rPr>
                <w:rFonts w:hint="eastAsia" w:ascii="仿宋" w:hAnsi="仿宋" w:eastAsia="仿宋" w:cs="仿宋"/>
                <w:sz w:val="32"/>
                <w:szCs w:val="32"/>
                <w:vertAlign w:val="baseline"/>
                <w:lang w:eastAsia="zh-CN"/>
              </w:rPr>
            </w:pPr>
            <w:r>
              <w:rPr>
                <w:rFonts w:hint="eastAsia" w:ascii="仿宋" w:hAnsi="仿宋" w:eastAsia="仿宋" w:cs="仿宋"/>
                <w:sz w:val="32"/>
                <w:szCs w:val="32"/>
                <w:vertAlign w:val="baseline"/>
                <w:lang w:eastAsia="zh-CN"/>
              </w:rPr>
              <w:t>姚会肖</w:t>
            </w:r>
          </w:p>
        </w:tc>
        <w:tc>
          <w:tcPr>
            <w:tcW w:w="2929" w:type="dxa"/>
          </w:tcPr>
          <w:p w14:paraId="2A5B5B24">
            <w:pPr>
              <w:keepNext w:val="0"/>
              <w:keepLines w:val="0"/>
              <w:suppressLineNumbers w:val="0"/>
              <w:spacing w:before="0" w:beforeAutospacing="0" w:after="0" w:afterAutospacing="0"/>
              <w:ind w:left="0" w:right="0"/>
              <w:jc w:val="center"/>
              <w:rPr>
                <w:rFonts w:hint="eastAsia" w:ascii="仿宋" w:hAnsi="仿宋" w:eastAsia="仿宋" w:cs="仿宋"/>
                <w:sz w:val="32"/>
                <w:szCs w:val="32"/>
                <w:vertAlign w:val="baseline"/>
              </w:rPr>
            </w:pPr>
            <w:r>
              <w:rPr>
                <w:rFonts w:hint="eastAsia" w:ascii="仿宋" w:hAnsi="仿宋" w:eastAsia="仿宋" w:cs="仿宋"/>
                <w:sz w:val="32"/>
                <w:szCs w:val="32"/>
                <w:vertAlign w:val="baseline"/>
                <w:lang w:eastAsia="zh-CN"/>
              </w:rPr>
              <w:t>元氏县审计局</w:t>
            </w:r>
          </w:p>
        </w:tc>
        <w:tc>
          <w:tcPr>
            <w:tcW w:w="2589" w:type="dxa"/>
          </w:tcPr>
          <w:p w14:paraId="61994A6F">
            <w:pPr>
              <w:keepNext w:val="0"/>
              <w:keepLines w:val="0"/>
              <w:suppressLineNumbers w:val="0"/>
              <w:spacing w:before="0" w:beforeAutospacing="0" w:after="0" w:afterAutospacing="0"/>
              <w:ind w:left="0" w:right="0"/>
              <w:jc w:val="center"/>
              <w:rPr>
                <w:rFonts w:hint="eastAsia" w:ascii="仿宋" w:hAnsi="仿宋" w:eastAsia="仿宋" w:cs="仿宋"/>
                <w:sz w:val="32"/>
                <w:szCs w:val="32"/>
                <w:vertAlign w:val="baseline"/>
                <w:lang w:eastAsia="zh-CN"/>
              </w:rPr>
            </w:pPr>
            <w:r>
              <w:rPr>
                <w:rFonts w:hint="eastAsia" w:ascii="仿宋" w:hAnsi="仿宋" w:eastAsia="仿宋" w:cs="仿宋"/>
                <w:sz w:val="32"/>
                <w:szCs w:val="32"/>
                <w:vertAlign w:val="baseline"/>
                <w:lang w:eastAsia="zh-CN"/>
              </w:rPr>
              <w:t>财务负责人</w:t>
            </w:r>
          </w:p>
        </w:tc>
        <w:tc>
          <w:tcPr>
            <w:tcW w:w="1250" w:type="dxa"/>
          </w:tcPr>
          <w:p w14:paraId="31F15360">
            <w:pPr>
              <w:keepNext w:val="0"/>
              <w:keepLines w:val="0"/>
              <w:suppressLineNumbers w:val="0"/>
              <w:spacing w:before="0" w:beforeAutospacing="0" w:after="0" w:afterAutospacing="0"/>
              <w:ind w:left="0" w:right="0"/>
              <w:jc w:val="center"/>
              <w:rPr>
                <w:rFonts w:hint="eastAsia" w:ascii="仿宋" w:hAnsi="仿宋" w:eastAsia="仿宋" w:cs="仿宋"/>
                <w:sz w:val="32"/>
                <w:szCs w:val="32"/>
                <w:vertAlign w:val="baseline"/>
              </w:rPr>
            </w:pPr>
          </w:p>
        </w:tc>
      </w:tr>
      <w:tr w14:paraId="638FE1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9" w:hRule="atLeast"/>
        </w:trPr>
        <w:tc>
          <w:tcPr>
            <w:tcW w:w="921" w:type="dxa"/>
          </w:tcPr>
          <w:p w14:paraId="21F82FBB">
            <w:pPr>
              <w:keepNext w:val="0"/>
              <w:keepLines w:val="0"/>
              <w:suppressLineNumbers w:val="0"/>
              <w:spacing w:before="0" w:beforeAutospacing="0" w:after="0" w:afterAutospacing="0"/>
              <w:ind w:left="0" w:right="0"/>
              <w:jc w:val="center"/>
              <w:rPr>
                <w:rFonts w:hint="eastAsia" w:ascii="仿宋" w:hAnsi="仿宋" w:eastAsia="仿宋" w:cs="仿宋"/>
                <w:sz w:val="32"/>
                <w:szCs w:val="32"/>
                <w:vertAlign w:val="baseline"/>
                <w:lang w:val="en-US" w:eastAsia="zh-CN"/>
              </w:rPr>
            </w:pPr>
            <w:r>
              <w:rPr>
                <w:rFonts w:hint="eastAsia" w:ascii="仿宋" w:hAnsi="仿宋" w:eastAsia="仿宋" w:cs="仿宋"/>
                <w:sz w:val="32"/>
                <w:szCs w:val="32"/>
                <w:vertAlign w:val="baseline"/>
                <w:lang w:val="en-US" w:eastAsia="zh-CN"/>
              </w:rPr>
              <w:t>3</w:t>
            </w:r>
          </w:p>
        </w:tc>
        <w:tc>
          <w:tcPr>
            <w:tcW w:w="1286" w:type="dxa"/>
          </w:tcPr>
          <w:p w14:paraId="7FA14B92">
            <w:pPr>
              <w:keepNext w:val="0"/>
              <w:keepLines w:val="0"/>
              <w:suppressLineNumbers w:val="0"/>
              <w:spacing w:before="0" w:beforeAutospacing="0" w:after="0" w:afterAutospacing="0"/>
              <w:ind w:left="0" w:right="0"/>
              <w:jc w:val="center"/>
              <w:rPr>
                <w:rFonts w:hint="eastAsia" w:ascii="仿宋" w:hAnsi="仿宋" w:eastAsia="仿宋" w:cs="仿宋"/>
                <w:sz w:val="32"/>
                <w:szCs w:val="32"/>
                <w:vertAlign w:val="baseline"/>
                <w:lang w:eastAsia="zh-CN"/>
              </w:rPr>
            </w:pPr>
            <w:r>
              <w:rPr>
                <w:rFonts w:hint="eastAsia" w:ascii="仿宋" w:hAnsi="仿宋" w:eastAsia="仿宋" w:cs="仿宋"/>
                <w:sz w:val="32"/>
                <w:szCs w:val="32"/>
                <w:vertAlign w:val="baseline"/>
                <w:lang w:eastAsia="zh-CN"/>
              </w:rPr>
              <w:t>郑云凯</w:t>
            </w:r>
          </w:p>
        </w:tc>
        <w:tc>
          <w:tcPr>
            <w:tcW w:w="2929" w:type="dxa"/>
          </w:tcPr>
          <w:p w14:paraId="3A91B151">
            <w:pPr>
              <w:keepNext w:val="0"/>
              <w:keepLines w:val="0"/>
              <w:suppressLineNumbers w:val="0"/>
              <w:spacing w:before="0" w:beforeAutospacing="0" w:after="0" w:afterAutospacing="0"/>
              <w:ind w:left="0" w:right="0"/>
              <w:jc w:val="center"/>
              <w:rPr>
                <w:rFonts w:hint="eastAsia" w:ascii="仿宋" w:hAnsi="仿宋" w:eastAsia="仿宋" w:cs="仿宋"/>
                <w:sz w:val="32"/>
                <w:szCs w:val="32"/>
                <w:vertAlign w:val="baseline"/>
              </w:rPr>
            </w:pPr>
            <w:r>
              <w:rPr>
                <w:rFonts w:hint="eastAsia" w:ascii="仿宋" w:hAnsi="仿宋" w:eastAsia="仿宋" w:cs="仿宋"/>
                <w:sz w:val="32"/>
                <w:szCs w:val="32"/>
                <w:vertAlign w:val="baseline"/>
                <w:lang w:eastAsia="zh-CN"/>
              </w:rPr>
              <w:t>元氏县审计局</w:t>
            </w:r>
          </w:p>
        </w:tc>
        <w:tc>
          <w:tcPr>
            <w:tcW w:w="2589" w:type="dxa"/>
          </w:tcPr>
          <w:p w14:paraId="292C7582">
            <w:pPr>
              <w:keepNext w:val="0"/>
              <w:keepLines w:val="0"/>
              <w:suppressLineNumbers w:val="0"/>
              <w:spacing w:before="0" w:beforeAutospacing="0" w:after="0" w:afterAutospacing="0"/>
              <w:ind w:left="0" w:right="0"/>
              <w:jc w:val="center"/>
              <w:rPr>
                <w:rFonts w:hint="eastAsia" w:ascii="仿宋" w:hAnsi="仿宋" w:eastAsia="仿宋" w:cs="仿宋"/>
                <w:sz w:val="32"/>
                <w:szCs w:val="32"/>
                <w:vertAlign w:val="baseline"/>
                <w:lang w:eastAsia="zh-CN"/>
              </w:rPr>
            </w:pPr>
            <w:r>
              <w:rPr>
                <w:rFonts w:hint="eastAsia" w:ascii="仿宋" w:hAnsi="仿宋" w:eastAsia="仿宋" w:cs="仿宋"/>
                <w:sz w:val="32"/>
                <w:szCs w:val="32"/>
                <w:vertAlign w:val="baseline"/>
                <w:lang w:eastAsia="zh-CN"/>
              </w:rPr>
              <w:t>财务室</w:t>
            </w:r>
          </w:p>
        </w:tc>
        <w:tc>
          <w:tcPr>
            <w:tcW w:w="1250" w:type="dxa"/>
          </w:tcPr>
          <w:p w14:paraId="1263EB1F">
            <w:pPr>
              <w:keepNext w:val="0"/>
              <w:keepLines w:val="0"/>
              <w:suppressLineNumbers w:val="0"/>
              <w:spacing w:before="0" w:beforeAutospacing="0" w:after="0" w:afterAutospacing="0"/>
              <w:ind w:left="0" w:right="0"/>
              <w:jc w:val="center"/>
              <w:rPr>
                <w:rFonts w:hint="eastAsia" w:ascii="仿宋" w:hAnsi="仿宋" w:eastAsia="仿宋" w:cs="仿宋"/>
                <w:sz w:val="32"/>
                <w:szCs w:val="32"/>
                <w:vertAlign w:val="baseline"/>
              </w:rPr>
            </w:pPr>
          </w:p>
        </w:tc>
      </w:tr>
    </w:tbl>
    <w:p w14:paraId="61D2C333">
      <w:pPr>
        <w:rPr>
          <w:rFonts w:hint="eastAsia" w:ascii="黑体" w:hAnsi="黑体" w:eastAsia="黑体"/>
          <w:sz w:val="32"/>
          <w:szCs w:val="32"/>
        </w:rPr>
      </w:pPr>
    </w:p>
    <w:p w14:paraId="0D773C2F">
      <w:pPr>
        <w:spacing w:line="560" w:lineRule="exact"/>
        <w:rPr>
          <w:rFonts w:ascii="仿宋" w:hAnsi="仿宋" w:eastAsia="仿宋"/>
        </w:rPr>
      </w:pPr>
    </w:p>
    <w:sectPr>
      <w:footerReference r:id="rId3" w:type="default"/>
      <w:pgSz w:w="11906" w:h="16838"/>
      <w:pgMar w:top="1440" w:right="1474" w:bottom="1440" w:left="1587" w:header="851" w:footer="992" w:gutter="0"/>
      <w:pgNumType w:fmt="numberInDash"/>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书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 w:name="方正仿宋_GBK">
    <w:altName w:val="微软雅黑"/>
    <w:panose1 w:val="00000000000000000000"/>
    <w:charset w:val="00"/>
    <w:family w:val="auto"/>
    <w:pitch w:val="default"/>
    <w:sig w:usb0="00000000" w:usb1="00000000" w:usb2="00000000" w:usb3="00000000" w:csb0="00000000" w:csb1="00000000"/>
  </w:font>
  <w:font w:name="华文楷体">
    <w:altName w:val="宋体"/>
    <w:panose1 w:val="02010600040101010101"/>
    <w:charset w:val="86"/>
    <w:family w:val="auto"/>
    <w:pitch w:val="default"/>
    <w:sig w:usb0="00000000" w:usb1="00000000" w:usb2="00000010" w:usb3="00000000" w:csb0="0004009F" w:csb1="00000000"/>
  </w:font>
  <w:font w:name="仿宋">
    <w:panose1 w:val="02010609060101010101"/>
    <w:charset w:val="86"/>
    <w:family w:val="modern"/>
    <w:pitch w:val="default"/>
    <w:sig w:usb0="800002BF" w:usb1="38CF7CFA" w:usb2="00000016" w:usb3="00000000" w:csb0="00040001" w:csb1="00000000"/>
  </w:font>
  <w:font w:name="楷体_GB2312">
    <w:altName w:val="楷体"/>
    <w:panose1 w:val="00000000000000000000"/>
    <w:charset w:val="86"/>
    <w:family w:val="auto"/>
    <w:pitch w:val="default"/>
    <w:sig w:usb0="00000000" w:usb1="00000000" w:usb2="00000000" w:usb3="00000000" w:csb0="00040000" w:csb1="00000000"/>
  </w:font>
  <w:font w:name="楷体">
    <w:panose1 w:val="02010609060101010101"/>
    <w:charset w:val="86"/>
    <w:family w:val="modern"/>
    <w:pitch w:val="default"/>
    <w:sig w:usb0="800002BF" w:usb1="38CF7CFA" w:usb2="00000016" w:usb3="00000000" w:csb0="00040001" w:csb1="00000000"/>
  </w:font>
  <w:font w:name="仿宋_GB2312">
    <w:altName w:val="仿宋"/>
    <w:panose1 w:val="02010609030101010101"/>
    <w:charset w:val="86"/>
    <w:family w:val="modern"/>
    <w:pitch w:val="default"/>
    <w:sig w:usb0="00000000" w:usb1="00000000" w:usb2="00000000" w:usb3="00000000" w:csb0="00040000" w:csb1="00000000"/>
  </w:font>
  <w:font w:name="DengXian-Regular">
    <w:altName w:val="宋体"/>
    <w:panose1 w:val="00000000000000000000"/>
    <w:charset w:val="86"/>
    <w:family w:val="auto"/>
    <w:pitch w:val="default"/>
    <w:sig w:usb0="00000000" w:usb1="00000000" w:usb2="0000001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A069753">
    <w:pPr>
      <w:pStyle w:val="2"/>
    </w:pPr>
    <w:r>
      <w:pict>
        <v:shape id="Quad Arrow 3073" o:spid="_x0000_s4097" o:spt="202" type="#_x0000_t202" style="position:absolute;left:0pt;margin-top:0pt;height:144pt;width:144pt;mso-position-horizontal:center;mso-position-horizontal-relative:margin;mso-wrap-style:none;z-index:251659264;mso-width-relative:page;mso-height-relative:page;" filled="f" o:preferrelative="t" stroked="f" coordsize="21600,21600">
          <v:path/>
          <v:fill on="f" focussize="0,0"/>
          <v:stroke on="f" joinstyle="miter"/>
          <v:imagedata o:title=""/>
          <o:lock v:ext="edit"/>
          <v:textbox inset="0mm,0mm,0mm,0mm" style="mso-fit-shape-to-text:t;">
            <w:txbxContent>
              <w:p w14:paraId="5FAAF692">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- 2 -</w:t>
                </w:r>
                <w:r>
                  <w:rPr>
                    <w:rFonts w:hint="eastAsia"/>
                    <w:sz w:val="18"/>
                  </w:rPr>
                  <w:fldChar w:fldCharType="end"/>
                </w:r>
              </w:p>
            </w:txbxContent>
          </v:textbox>
        </v:shape>
      </w:pic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FEBBD725"/>
    <w:multiLevelType w:val="singleLevel"/>
    <w:tmpl w:val="FEBBD725"/>
    <w:lvl w:ilvl="0" w:tentative="0">
      <w:start w:val="6"/>
      <w:numFmt w:val="chineseCounting"/>
      <w:suff w:val="nothing"/>
      <w:lvlText w:val="%1、"/>
      <w:lvlJc w:val="left"/>
      <w:rPr>
        <w:rFonts w:hint="eastAsia"/>
      </w:rPr>
    </w:lvl>
  </w:abstractNum>
  <w:abstractNum w:abstractNumId="1">
    <w:nsid w:val="FF3C5184"/>
    <w:multiLevelType w:val="singleLevel"/>
    <w:tmpl w:val="FF3C5184"/>
    <w:lvl w:ilvl="0" w:tentative="0">
      <w:start w:val="2"/>
      <w:numFmt w:val="chineseCounting"/>
      <w:suff w:val="nothing"/>
      <w:lvlText w:val="（%1）"/>
      <w:lvlJc w:val="left"/>
      <w:rPr>
        <w:rFonts w:hint="eastAsia"/>
      </w:rPr>
    </w:lvl>
  </w:abstractNum>
  <w:abstractNum w:abstractNumId="2">
    <w:nsid w:val="0516AA81"/>
    <w:multiLevelType w:val="singleLevel"/>
    <w:tmpl w:val="0516AA81"/>
    <w:lvl w:ilvl="0" w:tentative="0">
      <w:start w:val="2"/>
      <w:numFmt w:val="chineseCounting"/>
      <w:suff w:val="nothing"/>
      <w:lvlText w:val="（%1）"/>
      <w:lvlJc w:val="left"/>
      <w:pPr>
        <w:ind w:left="642" w:firstLine="0"/>
      </w:pPr>
      <w:rPr>
        <w:rFonts w:hint="eastAsia"/>
      </w:rPr>
    </w:lvl>
  </w:abstractNum>
  <w:abstractNum w:abstractNumId="3">
    <w:nsid w:val="5E68489B"/>
    <w:multiLevelType w:val="singleLevel"/>
    <w:tmpl w:val="5E68489B"/>
    <w:lvl w:ilvl="0" w:tentative="0">
      <w:start w:val="1"/>
      <w:numFmt w:val="chineseCounting"/>
      <w:suff w:val="nothing"/>
      <w:lvlText w:val="（%1）"/>
      <w:lvlJc w:val="left"/>
      <w:rPr>
        <w:rFonts w:ascii="楷体" w:hAnsi="楷体" w:eastAsia="楷体"/>
      </w:rPr>
    </w:lvl>
  </w:abstractNum>
  <w:abstractNum w:abstractNumId="4">
    <w:nsid w:val="71CD58BD"/>
    <w:multiLevelType w:val="singleLevel"/>
    <w:tmpl w:val="71CD58BD"/>
    <w:lvl w:ilvl="0" w:tentative="0">
      <w:start w:val="2"/>
      <w:numFmt w:val="decimal"/>
      <w:suff w:val="nothing"/>
      <w:lvlText w:val="%1．"/>
      <w:lvlJc w:val="left"/>
    </w:lvl>
  </w:abstractNum>
  <w:num w:numId="1">
    <w:abstractNumId w:val="4"/>
  </w:num>
  <w:num w:numId="2">
    <w:abstractNumId w:val="1"/>
  </w:num>
  <w:num w:numId="3">
    <w:abstractNumId w:val="2"/>
  </w:num>
  <w:num w:numId="4">
    <w:abstractNumId w:val="3"/>
  </w:num>
  <w:num w:numId="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0"/>
  <w:bordersDoNotSurroundHeader w:val="0"/>
  <w:bordersDoNotSurroundFooter w:val="0"/>
  <w:doNotTrackMoves/>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docVars>
    <w:docVar w:name="commondata" w:val="eyJoZGlkIjoiYzgxMzVhZTBlNDUyZWUxNDVhMjNkN2E1NjFlOTE5NDcifQ=="/>
  </w:docVars>
  <w:rsids>
    <w:rsidRoot w:val="0EBD2122"/>
    <w:rsid w:val="000B0260"/>
    <w:rsid w:val="00146E0E"/>
    <w:rsid w:val="00330228"/>
    <w:rsid w:val="00384A26"/>
    <w:rsid w:val="003D62B9"/>
    <w:rsid w:val="00665343"/>
    <w:rsid w:val="007267F3"/>
    <w:rsid w:val="00773795"/>
    <w:rsid w:val="007E6C1F"/>
    <w:rsid w:val="00956A93"/>
    <w:rsid w:val="009E575C"/>
    <w:rsid w:val="009E6C7C"/>
    <w:rsid w:val="00AF167E"/>
    <w:rsid w:val="00AF566A"/>
    <w:rsid w:val="00B478EA"/>
    <w:rsid w:val="00B6553A"/>
    <w:rsid w:val="00BC6576"/>
    <w:rsid w:val="00C75712"/>
    <w:rsid w:val="00CE06BA"/>
    <w:rsid w:val="00CE3FAD"/>
    <w:rsid w:val="00D1126E"/>
    <w:rsid w:val="00EB47BA"/>
    <w:rsid w:val="00F441CC"/>
    <w:rsid w:val="01B104CA"/>
    <w:rsid w:val="02106AB0"/>
    <w:rsid w:val="02B43A28"/>
    <w:rsid w:val="046F331E"/>
    <w:rsid w:val="07956271"/>
    <w:rsid w:val="09721397"/>
    <w:rsid w:val="0BB63BED"/>
    <w:rsid w:val="0EB97A43"/>
    <w:rsid w:val="0EBD2122"/>
    <w:rsid w:val="0F214EAE"/>
    <w:rsid w:val="11B71E6A"/>
    <w:rsid w:val="129734E6"/>
    <w:rsid w:val="1AAF0063"/>
    <w:rsid w:val="1BE140DE"/>
    <w:rsid w:val="241121C3"/>
    <w:rsid w:val="248C197D"/>
    <w:rsid w:val="252959AF"/>
    <w:rsid w:val="277A6671"/>
    <w:rsid w:val="292D35B7"/>
    <w:rsid w:val="33EB6CFF"/>
    <w:rsid w:val="35A12947"/>
    <w:rsid w:val="37387040"/>
    <w:rsid w:val="3B625C0A"/>
    <w:rsid w:val="3CEE1963"/>
    <w:rsid w:val="436B78D3"/>
    <w:rsid w:val="4C9C27FE"/>
    <w:rsid w:val="512260B4"/>
    <w:rsid w:val="52BD6ACB"/>
    <w:rsid w:val="55537534"/>
    <w:rsid w:val="561A74F1"/>
    <w:rsid w:val="597244E8"/>
    <w:rsid w:val="5EB71C30"/>
    <w:rsid w:val="60722438"/>
    <w:rsid w:val="63E31979"/>
    <w:rsid w:val="66AF0CE5"/>
    <w:rsid w:val="6AC537CF"/>
    <w:rsid w:val="6B8E6BFB"/>
    <w:rsid w:val="6E5B14A6"/>
    <w:rsid w:val="711B255E"/>
    <w:rsid w:val="7659484D"/>
    <w:rsid w:val="78A10A9A"/>
    <w:rsid w:val="7BB51E06"/>
    <w:rsid w:val="7C387F7C"/>
    <w:rsid w:val="7CAD0B17"/>
    <w:rsid w:val="7FE83423"/>
  </w:rsids>
  <m:mathPr>
    <m:mathFont m:val="Cambria Math"/>
    <m:brkBin m:val="before"/>
    <m:brkBinSub m:val="--"/>
    <m:smallFrac m:val="1"/>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mc:AlternateContent>
    <mc:Choice Requires="wpsCustomData">
      <wpsCustomData:typoFeatureVersion val="0"/>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黑体"/>
      <w:kern w:val="2"/>
      <w:sz w:val="21"/>
      <w:szCs w:val="22"/>
      <w:lang w:val="en-US" w:eastAsia="zh-CN" w:bidi="ar-SA"/>
    </w:rPr>
  </w:style>
  <w:style w:type="character" w:default="1" w:styleId="6">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sz w:val="18"/>
    </w:rPr>
  </w:style>
  <w:style w:type="table" w:styleId="5">
    <w:name w:val="Table Grid"/>
    <w:basedOn w:val="4"/>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7">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8">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9">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0">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1">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4097"/>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7</Pages>
  <Words>3432</Words>
  <Characters>3549</Characters>
  <Lines>4</Lines>
  <Paragraphs>1</Paragraphs>
  <TotalTime>1</TotalTime>
  <ScaleCrop>false</ScaleCrop>
  <LinksUpToDate>false</LinksUpToDate>
  <CharactersWithSpaces>3581</CharactersWithSpaces>
  <Application>WPS Office_12.1.0.25865_F1E327BC-269C-435d-A152-05C5408002CA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2020-02-04T03:46:00Z</dcterms:created>
  <dc:creator>欣欣大人</dc:creator>
  <cp:lastModifiedBy>小新新</cp:lastModifiedBy>
  <cp:lastPrinted>2024-03-06T07:40:00Z</cp:lastPrinted>
  <dcterms:modified xsi:type="dcterms:W3CDTF">2026-05-09T00:58:47Z</dcterms:modified>
  <dc:title>附件3：</dc:title>
  <cp:revision>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2052-12.1.0.25865</vt:lpwstr>
  </property>
  <property fmtid="{D5CDD505-2E9C-101B-9397-08002B2CF9AE}" pid="3" name="ICV">
    <vt:lpwstr>96934721B1514D3FBAA28020338CE855_12</vt:lpwstr>
  </property>
  <property fmtid="{D5CDD505-2E9C-101B-9397-08002B2CF9AE}" pid="4" name="KSOTemplateDocerSaveRecord">
    <vt:lpwstr>eyJoZGlkIjoiNDMwMWNlOWJlNjM1MGNmZjhlYmUxNTg1MDkxNjZhM2MiLCJ1c2VySWQiOiI0NDMwNjc4OTQifQ==</vt:lpwstr>
  </property>
</Properties>
</file>