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97643CA">
      <w:pPr>
        <w:keepNext w:val="0"/>
        <w:keepLines w:val="0"/>
        <w:pageBreakBefore w:val="0"/>
        <w:widowControl w:val="0"/>
        <w:kinsoku/>
        <w:wordWrap/>
        <w:overflowPunct/>
        <w:topLinePunct w:val="0"/>
        <w:autoSpaceDE/>
        <w:autoSpaceDN/>
        <w:bidi w:val="0"/>
        <w:spacing w:line="520" w:lineRule="exact"/>
        <w:jc w:val="center"/>
        <w:textAlignment w:val="auto"/>
        <w:rPr>
          <w:rFonts w:ascii="宋体" w:hAnsi="宋体" w:cs="宋体"/>
          <w:b/>
          <w:bCs/>
          <w:sz w:val="44"/>
          <w:szCs w:val="44"/>
        </w:rPr>
      </w:pPr>
      <w:r>
        <w:rPr>
          <w:rFonts w:hint="eastAsia" w:ascii="宋体" w:hAnsi="宋体" w:cs="宋体"/>
          <w:b/>
          <w:bCs/>
          <w:sz w:val="44"/>
          <w:szCs w:val="44"/>
          <w:lang w:val="en-US" w:eastAsia="zh-CN"/>
        </w:rPr>
        <w:t>元氏县公共资源交易中心</w:t>
      </w:r>
    </w:p>
    <w:p w14:paraId="33EB307F">
      <w:pPr>
        <w:keepNext w:val="0"/>
        <w:keepLines w:val="0"/>
        <w:pageBreakBefore w:val="0"/>
        <w:widowControl w:val="0"/>
        <w:kinsoku/>
        <w:wordWrap/>
        <w:overflowPunct/>
        <w:topLinePunct w:val="0"/>
        <w:autoSpaceDE/>
        <w:autoSpaceDN/>
        <w:bidi w:val="0"/>
        <w:spacing w:line="520" w:lineRule="exact"/>
        <w:jc w:val="center"/>
        <w:textAlignment w:val="auto"/>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5</w:t>
      </w:r>
      <w:r>
        <w:rPr>
          <w:rFonts w:hint="eastAsia" w:ascii="宋体" w:hAnsi="宋体" w:cs="宋体"/>
          <w:b/>
          <w:bCs/>
          <w:sz w:val="44"/>
          <w:szCs w:val="44"/>
        </w:rPr>
        <w:t>年度整体支出绩效自评报告</w:t>
      </w:r>
    </w:p>
    <w:p w14:paraId="001A104D">
      <w:pPr>
        <w:keepNext w:val="0"/>
        <w:keepLines w:val="0"/>
        <w:pageBreakBefore w:val="0"/>
        <w:widowControl w:val="0"/>
        <w:kinsoku/>
        <w:wordWrap/>
        <w:overflowPunct/>
        <w:topLinePunct w:val="0"/>
        <w:autoSpaceDE/>
        <w:autoSpaceDN/>
        <w:bidi w:val="0"/>
        <w:spacing w:line="520" w:lineRule="exact"/>
        <w:jc w:val="center"/>
        <w:textAlignment w:val="auto"/>
        <w:rPr>
          <w:rFonts w:ascii="华文楷体" w:eastAsia="华文楷体"/>
          <w:sz w:val="32"/>
          <w:szCs w:val="32"/>
        </w:rPr>
      </w:pPr>
    </w:p>
    <w:p w14:paraId="699BCC1F">
      <w:pPr>
        <w:keepNext w:val="0"/>
        <w:keepLines w:val="0"/>
        <w:pageBreakBefore w:val="0"/>
        <w:widowControl w:val="0"/>
        <w:kinsoku/>
        <w:wordWrap/>
        <w:overflowPunct/>
        <w:topLinePunct w:val="0"/>
        <w:autoSpaceDE/>
        <w:autoSpaceDN/>
        <w:bidi w:val="0"/>
        <w:adjustRightInd w:val="0"/>
        <w:snapToGrid w:val="0"/>
        <w:spacing w:line="520" w:lineRule="exact"/>
        <w:ind w:firstLine="640" w:firstLineChars="200"/>
        <w:textAlignment w:val="auto"/>
        <w:rPr>
          <w:rFonts w:hint="eastAsia" w:ascii="仿宋" w:hAnsi="仿宋" w:eastAsia="仿宋"/>
          <w:sz w:val="32"/>
          <w:szCs w:val="32"/>
        </w:rPr>
      </w:pPr>
      <w:r>
        <w:rPr>
          <w:rFonts w:hint="eastAsia" w:ascii="仿宋" w:hAnsi="仿宋" w:eastAsia="仿宋"/>
          <w:sz w:val="32"/>
          <w:szCs w:val="32"/>
        </w:rPr>
        <w:t>贯彻落实县委县政府《关于全面落实预算绩效管理的实施意见》（元发﹝2019﹞7号）文件精神，遵循“科学性、规范性、客观性和公正性”的原则，对</w:t>
      </w:r>
      <w:r>
        <w:rPr>
          <w:rFonts w:hint="eastAsia" w:ascii="仿宋" w:hAnsi="仿宋" w:eastAsia="仿宋"/>
          <w:sz w:val="32"/>
          <w:szCs w:val="32"/>
          <w:lang w:val="en-US" w:eastAsia="zh-CN"/>
        </w:rPr>
        <w:t>元氏县公共资源交易中心</w:t>
      </w:r>
      <w:r>
        <w:rPr>
          <w:rFonts w:hint="eastAsia" w:ascii="仿宋" w:hAnsi="仿宋" w:eastAsia="仿宋"/>
          <w:sz w:val="32"/>
          <w:szCs w:val="32"/>
        </w:rPr>
        <w:t>202</w:t>
      </w:r>
      <w:r>
        <w:rPr>
          <w:rFonts w:hint="default" w:ascii="仿宋" w:hAnsi="仿宋" w:eastAsia="仿宋"/>
          <w:sz w:val="32"/>
          <w:szCs w:val="32"/>
          <w:lang w:val="en-US"/>
        </w:rPr>
        <w:t>5</w:t>
      </w:r>
      <w:r>
        <w:rPr>
          <w:rFonts w:hint="eastAsia" w:ascii="仿宋" w:hAnsi="仿宋" w:eastAsia="仿宋"/>
          <w:sz w:val="32"/>
          <w:szCs w:val="32"/>
        </w:rPr>
        <w:t>年整体支出情况实施了财政支出绩效自评价，形成本评价报告。</w:t>
      </w:r>
    </w:p>
    <w:p w14:paraId="19660F93">
      <w:pPr>
        <w:keepNext w:val="0"/>
        <w:keepLines w:val="0"/>
        <w:pageBreakBefore w:val="0"/>
        <w:widowControl w:val="0"/>
        <w:kinsoku/>
        <w:wordWrap/>
        <w:overflowPunct/>
        <w:topLinePunct w:val="0"/>
        <w:autoSpaceDE/>
        <w:autoSpaceDN/>
        <w:bidi w:val="0"/>
        <w:adjustRightInd w:val="0"/>
        <w:snapToGrid w:val="0"/>
        <w:spacing w:line="520" w:lineRule="exact"/>
        <w:ind w:firstLine="640" w:firstLineChars="200"/>
        <w:textAlignment w:val="auto"/>
        <w:rPr>
          <w:rFonts w:ascii="黑体" w:hAnsi="黑体" w:eastAsia="黑体"/>
          <w:b/>
          <w:bCs/>
          <w:sz w:val="32"/>
          <w:szCs w:val="36"/>
        </w:rPr>
      </w:pPr>
      <w:r>
        <w:rPr>
          <w:rFonts w:hint="eastAsia" w:ascii="黑体" w:hAnsi="黑体" w:eastAsia="黑体"/>
          <w:sz w:val="32"/>
          <w:szCs w:val="32"/>
        </w:rPr>
        <w:t>一、部门</w:t>
      </w:r>
      <w:r>
        <w:rPr>
          <w:rFonts w:hint="eastAsia" w:ascii="黑体" w:hAnsi="黑体" w:eastAsia="黑体"/>
          <w:sz w:val="32"/>
          <w:szCs w:val="36"/>
        </w:rPr>
        <w:t>基本情况</w:t>
      </w:r>
    </w:p>
    <w:p w14:paraId="70C86D56">
      <w:pPr>
        <w:keepNext w:val="0"/>
        <w:keepLines w:val="0"/>
        <w:pageBreakBefore w:val="0"/>
        <w:widowControl w:val="0"/>
        <w:kinsoku/>
        <w:wordWrap/>
        <w:overflowPunct/>
        <w:topLinePunct w:val="0"/>
        <w:autoSpaceDE/>
        <w:autoSpaceDN/>
        <w:bidi w:val="0"/>
        <w:adjustRightInd w:val="0"/>
        <w:snapToGrid w:val="0"/>
        <w:spacing w:line="520" w:lineRule="exact"/>
        <w:ind w:firstLine="640" w:firstLineChars="200"/>
        <w:textAlignment w:val="auto"/>
        <w:rPr>
          <w:rFonts w:ascii="楷体" w:hAnsi="楷体" w:eastAsia="楷体" w:cs="楷体_GB2312"/>
          <w:bCs/>
          <w:sz w:val="32"/>
          <w:szCs w:val="32"/>
        </w:rPr>
      </w:pPr>
      <w:r>
        <w:rPr>
          <w:rFonts w:hint="eastAsia" w:ascii="楷体" w:hAnsi="楷体" w:eastAsia="楷体" w:cs="楷体_GB2312"/>
          <w:bCs/>
          <w:sz w:val="32"/>
          <w:szCs w:val="32"/>
        </w:rPr>
        <w:t>（一）部门概况</w:t>
      </w:r>
    </w:p>
    <w:p w14:paraId="547CD18D">
      <w:pPr>
        <w:keepNext w:val="0"/>
        <w:keepLines w:val="0"/>
        <w:pageBreakBefore w:val="0"/>
        <w:widowControl w:val="0"/>
        <w:kinsoku/>
        <w:wordWrap/>
        <w:overflowPunct/>
        <w:topLinePunct w:val="0"/>
        <w:autoSpaceDE/>
        <w:autoSpaceDN/>
        <w:bidi w:val="0"/>
        <w:adjustRightInd w:val="0"/>
        <w:snapToGrid w:val="0"/>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根据《元氏县公共资源交易中心职能配置、内设机构和人员编制规定》， 元氏县公共资源交易中心的主要职责是：</w:t>
      </w:r>
    </w:p>
    <w:p w14:paraId="4E2DB408">
      <w:pPr>
        <w:keepNext w:val="0"/>
        <w:keepLines w:val="0"/>
        <w:pageBreakBefore w:val="0"/>
        <w:widowControl w:val="0"/>
        <w:kinsoku/>
        <w:wordWrap/>
        <w:overflowPunct/>
        <w:topLinePunct w:val="0"/>
        <w:autoSpaceDE/>
        <w:autoSpaceDN/>
        <w:bidi w:val="0"/>
        <w:adjustRightInd w:val="0"/>
        <w:snapToGrid w:val="0"/>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1、落实省、市公共资源交易市场建设有关政策，建设公共资源交易市场是实现公共资源市场化配置的有效途径，市场化配置是合理开发利用公共资源的内在要求。</w:t>
      </w:r>
    </w:p>
    <w:p w14:paraId="751A5ABD">
      <w:pPr>
        <w:keepNext w:val="0"/>
        <w:keepLines w:val="0"/>
        <w:pageBreakBefore w:val="0"/>
        <w:widowControl w:val="0"/>
        <w:kinsoku/>
        <w:wordWrap/>
        <w:overflowPunct/>
        <w:topLinePunct w:val="0"/>
        <w:autoSpaceDE/>
        <w:autoSpaceDN/>
        <w:bidi w:val="0"/>
        <w:adjustRightInd w:val="0"/>
        <w:snapToGrid w:val="0"/>
        <w:spacing w:line="520" w:lineRule="exact"/>
        <w:ind w:firstLine="640" w:firstLineChars="200"/>
        <w:textAlignment w:val="auto"/>
        <w:rPr>
          <w:rFonts w:hint="eastAsia" w:ascii="仿宋_GB2312" w:hAnsi="仿宋_GB2312" w:eastAsia="仿宋_GB2312" w:cs="仿宋_GB2312"/>
          <w:sz w:val="32"/>
          <w:szCs w:val="32"/>
        </w:rPr>
      </w:pPr>
      <w:r>
        <w:rPr>
          <w:rFonts w:ascii="仿宋_GB2312" w:hAnsi="仿宋_GB2312" w:eastAsia="仿宋_GB2312" w:cs="仿宋_GB2312"/>
          <w:sz w:val="32"/>
          <w:szCs w:val="32"/>
        </w:rPr>
        <w:t>2</w:t>
      </w:r>
      <w:r>
        <w:rPr>
          <w:rFonts w:hint="eastAsia" w:ascii="仿宋_GB2312" w:hAnsi="仿宋_GB2312" w:eastAsia="仿宋_GB2312" w:cs="仿宋_GB2312"/>
          <w:sz w:val="32"/>
          <w:szCs w:val="32"/>
        </w:rPr>
        <w:t>、管理公共资源交易市场事务工作，贯彻实施有关法律法规，查验进场交易相关手续，做好各项公共资源交易市场的事务性工作，努力构建综合性要素市场平台。</w:t>
      </w:r>
    </w:p>
    <w:p w14:paraId="7A741109">
      <w:pPr>
        <w:keepNext w:val="0"/>
        <w:keepLines w:val="0"/>
        <w:pageBreakBefore w:val="0"/>
        <w:widowControl w:val="0"/>
        <w:kinsoku/>
        <w:wordWrap/>
        <w:overflowPunct/>
        <w:topLinePunct w:val="0"/>
        <w:autoSpaceDE/>
        <w:autoSpaceDN/>
        <w:bidi w:val="0"/>
        <w:adjustRightInd w:val="0"/>
        <w:snapToGrid w:val="0"/>
        <w:spacing w:line="520" w:lineRule="exact"/>
        <w:ind w:firstLine="640" w:firstLineChars="200"/>
        <w:textAlignment w:val="auto"/>
        <w:rPr>
          <w:rFonts w:hint="eastAsia" w:ascii="仿宋_GB2312" w:hAnsi="仿宋_GB2312" w:eastAsia="仿宋_GB2312" w:cs="仿宋_GB2312"/>
          <w:sz w:val="32"/>
          <w:szCs w:val="32"/>
        </w:rPr>
      </w:pPr>
      <w:r>
        <w:rPr>
          <w:rFonts w:ascii="仿宋_GB2312" w:hAnsi="仿宋_GB2312" w:eastAsia="仿宋_GB2312" w:cs="仿宋_GB2312"/>
          <w:sz w:val="32"/>
          <w:szCs w:val="32"/>
        </w:rPr>
        <w:t>3</w:t>
      </w:r>
      <w:r>
        <w:rPr>
          <w:rFonts w:hint="eastAsia" w:ascii="仿宋_GB2312" w:hAnsi="仿宋_GB2312" w:eastAsia="仿宋_GB2312" w:cs="仿宋_GB2312"/>
          <w:sz w:val="32"/>
          <w:szCs w:val="32"/>
        </w:rPr>
        <w:t>、公共资源交易市场综合事务管理，按照有关要求,做好办公设施的维修、维护工作；协调各股室工作，负责日常事务管理。</w:t>
      </w:r>
    </w:p>
    <w:p w14:paraId="296008EC">
      <w:pPr>
        <w:keepNext w:val="0"/>
        <w:keepLines w:val="0"/>
        <w:pageBreakBefore w:val="0"/>
        <w:widowControl w:val="0"/>
        <w:kinsoku/>
        <w:wordWrap/>
        <w:overflowPunct/>
        <w:topLinePunct w:val="0"/>
        <w:autoSpaceDE/>
        <w:autoSpaceDN/>
        <w:bidi w:val="0"/>
        <w:adjustRightInd w:val="0"/>
        <w:snapToGrid w:val="0"/>
        <w:spacing w:line="520" w:lineRule="exact"/>
        <w:ind w:left="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元氏县公共资源交易中心属财政性资金基本保证事业单位，规格副科级。</w:t>
      </w:r>
      <w:r>
        <w:rPr>
          <w:rFonts w:hint="eastAsia" w:ascii="仿宋_GB2312" w:hAnsi="Calibri" w:eastAsia="仿宋_GB2312" w:cs="仿宋_GB2312"/>
          <w:sz w:val="32"/>
          <w:szCs w:val="32"/>
          <w:lang w:bidi="ar-SA"/>
        </w:rPr>
        <w:t>截止20</w:t>
      </w:r>
      <w:r>
        <w:rPr>
          <w:rFonts w:ascii="仿宋_GB2312" w:hAnsi="Calibri" w:eastAsia="仿宋_GB2312" w:cs="仿宋_GB2312"/>
          <w:sz w:val="32"/>
          <w:szCs w:val="32"/>
          <w:lang w:bidi="ar-SA"/>
        </w:rPr>
        <w:t>2</w:t>
      </w:r>
      <w:r>
        <w:rPr>
          <w:rFonts w:hint="default" w:ascii="仿宋_GB2312" w:eastAsia="仿宋_GB2312" w:cs="仿宋_GB2312"/>
          <w:sz w:val="32"/>
          <w:szCs w:val="32"/>
          <w:lang w:val="en-US" w:eastAsia="zh-CN" w:bidi="ar-SA"/>
        </w:rPr>
        <w:t>5</w:t>
      </w:r>
      <w:r>
        <w:rPr>
          <w:rFonts w:hint="eastAsia" w:ascii="仿宋_GB2312" w:hAnsi="Calibri" w:eastAsia="仿宋_GB2312" w:cs="仿宋_GB2312"/>
          <w:sz w:val="32"/>
          <w:szCs w:val="32"/>
          <w:lang w:bidi="ar-SA"/>
        </w:rPr>
        <w:t>年12月31日,财政拨款编制</w:t>
      </w:r>
      <w:r>
        <w:rPr>
          <w:rFonts w:ascii="仿宋_GB2312" w:hAnsi="Calibri" w:eastAsia="仿宋_GB2312" w:cs="仿宋_GB2312"/>
          <w:sz w:val="32"/>
          <w:szCs w:val="32"/>
          <w:lang w:bidi="ar-SA"/>
        </w:rPr>
        <w:t>5</w:t>
      </w:r>
      <w:r>
        <w:rPr>
          <w:rFonts w:hint="eastAsia" w:ascii="仿宋_GB2312" w:hAnsi="Calibri" w:eastAsia="仿宋_GB2312" w:cs="仿宋_GB2312"/>
          <w:sz w:val="32"/>
          <w:szCs w:val="32"/>
          <w:lang w:bidi="ar-SA"/>
        </w:rPr>
        <w:t>人，年末在职实有</w:t>
      </w:r>
      <w:r>
        <w:rPr>
          <w:rFonts w:ascii="仿宋_GB2312" w:hAnsi="Calibri" w:eastAsia="仿宋_GB2312" w:cs="仿宋_GB2312"/>
          <w:sz w:val="32"/>
          <w:szCs w:val="32"/>
          <w:lang w:bidi="ar-SA"/>
        </w:rPr>
        <w:t>5</w:t>
      </w:r>
      <w:r>
        <w:rPr>
          <w:rFonts w:hint="eastAsia" w:ascii="仿宋_GB2312" w:hAnsi="Calibri" w:eastAsia="仿宋_GB2312" w:cs="仿宋_GB2312"/>
          <w:sz w:val="32"/>
          <w:szCs w:val="32"/>
          <w:lang w:bidi="ar-SA"/>
        </w:rPr>
        <w:t>人。</w:t>
      </w:r>
    </w:p>
    <w:p w14:paraId="17E09680">
      <w:pPr>
        <w:keepNext w:val="0"/>
        <w:keepLines w:val="0"/>
        <w:pageBreakBefore w:val="0"/>
        <w:widowControl w:val="0"/>
        <w:kinsoku/>
        <w:wordWrap/>
        <w:overflowPunct/>
        <w:topLinePunct w:val="0"/>
        <w:autoSpaceDE/>
        <w:autoSpaceDN/>
        <w:bidi w:val="0"/>
        <w:adjustRightInd w:val="0"/>
        <w:snapToGrid w:val="0"/>
        <w:spacing w:line="520" w:lineRule="exact"/>
        <w:ind w:firstLine="643" w:firstLineChars="200"/>
        <w:textAlignment w:val="auto"/>
        <w:rPr>
          <w:rFonts w:ascii="仿宋" w:hAnsi="仿宋" w:eastAsia="仿宋" w:cs="楷体_GB2312"/>
          <w:b/>
          <w:bCs/>
          <w:sz w:val="32"/>
          <w:szCs w:val="32"/>
          <w:highlight w:val="none"/>
        </w:rPr>
      </w:pPr>
      <w:r>
        <w:rPr>
          <w:rFonts w:hint="eastAsia" w:ascii="仿宋" w:hAnsi="仿宋" w:eastAsia="仿宋" w:cs="楷体_GB2312"/>
          <w:b/>
          <w:bCs/>
          <w:sz w:val="32"/>
          <w:szCs w:val="32"/>
          <w:highlight w:val="none"/>
        </w:rPr>
        <w:t>（二）部门收支预决算情况</w:t>
      </w:r>
    </w:p>
    <w:p w14:paraId="4F39A2D3">
      <w:pPr>
        <w:keepNext w:val="0"/>
        <w:keepLines w:val="0"/>
        <w:pageBreakBefore w:val="0"/>
        <w:widowControl w:val="0"/>
        <w:kinsoku/>
        <w:wordWrap/>
        <w:overflowPunct/>
        <w:topLinePunct w:val="0"/>
        <w:autoSpaceDE/>
        <w:autoSpaceDN/>
        <w:bidi w:val="0"/>
        <w:spacing w:line="520" w:lineRule="exact"/>
        <w:ind w:firstLine="640" w:firstLineChars="200"/>
        <w:jc w:val="left"/>
        <w:textAlignment w:val="auto"/>
        <w:rPr>
          <w:rFonts w:hint="default" w:ascii="仿宋_GB2312" w:eastAsia="仿宋_GB2312" w:cs="DengXian-Regular"/>
          <w:sz w:val="32"/>
          <w:szCs w:val="32"/>
          <w:highlight w:val="none"/>
          <w:lang w:val="en-US" w:eastAsia="zh-CN" w:bidi="ar-SA"/>
        </w:rPr>
      </w:pPr>
      <w:r>
        <w:rPr>
          <w:rFonts w:hint="eastAsia" w:ascii="仿宋_GB2312" w:eastAsia="仿宋_GB2312" w:cs="DengXian-Regular"/>
          <w:sz w:val="32"/>
          <w:szCs w:val="32"/>
          <w:highlight w:val="none"/>
          <w:lang w:bidi="ar-SA"/>
        </w:rPr>
        <w:t>本</w:t>
      </w:r>
      <w:r>
        <w:rPr>
          <w:rFonts w:hint="eastAsia" w:ascii="仿宋_GB2312" w:eastAsia="仿宋_GB2312" w:cs="DengXian-Regular"/>
          <w:sz w:val="32"/>
          <w:szCs w:val="32"/>
          <w:highlight w:val="none"/>
          <w:lang w:eastAsia="zh-CN" w:bidi="ar-SA"/>
        </w:rPr>
        <w:t>部门202</w:t>
      </w:r>
      <w:r>
        <w:rPr>
          <w:rFonts w:hint="eastAsia" w:ascii="仿宋_GB2312" w:eastAsia="仿宋_GB2312" w:cs="DengXian-Regular"/>
          <w:sz w:val="32"/>
          <w:szCs w:val="32"/>
          <w:highlight w:val="none"/>
          <w:lang w:val="en-US" w:eastAsia="zh-CN" w:bidi="ar-SA"/>
        </w:rPr>
        <w:t>5</w:t>
      </w:r>
      <w:r>
        <w:rPr>
          <w:rFonts w:hint="eastAsia" w:ascii="仿宋_GB2312" w:eastAsia="仿宋_GB2312" w:cs="DengXian-Regular"/>
          <w:sz w:val="32"/>
          <w:szCs w:val="32"/>
          <w:highlight w:val="none"/>
          <w:lang w:bidi="ar-SA"/>
        </w:rPr>
        <w:t>年度一般公共预算财政拨款收入</w:t>
      </w:r>
      <w:r>
        <w:rPr>
          <w:rFonts w:hint="eastAsia" w:ascii="仿宋_GB2312" w:eastAsia="仿宋_GB2312" w:cs="DengXian-Regular"/>
          <w:sz w:val="32"/>
          <w:szCs w:val="32"/>
          <w:highlight w:val="none"/>
          <w:lang w:val="en-US" w:eastAsia="zh-CN" w:bidi="ar-SA"/>
        </w:rPr>
        <w:t>95.52</w:t>
      </w:r>
      <w:r>
        <w:rPr>
          <w:rFonts w:hint="eastAsia" w:ascii="仿宋_GB2312" w:eastAsia="仿宋_GB2312" w:cs="DengXian-Regular"/>
          <w:sz w:val="32"/>
          <w:szCs w:val="32"/>
          <w:highlight w:val="none"/>
          <w:lang w:bidi="ar-SA"/>
        </w:rPr>
        <w:t>万元，完成年初预算的</w:t>
      </w:r>
      <w:r>
        <w:rPr>
          <w:rFonts w:hint="eastAsia" w:ascii="仿宋_GB2312" w:eastAsia="仿宋_GB2312" w:cs="DengXian-Regular"/>
          <w:sz w:val="32"/>
          <w:szCs w:val="32"/>
          <w:highlight w:val="none"/>
          <w:lang w:val="en-US" w:eastAsia="zh-CN" w:bidi="ar-SA"/>
        </w:rPr>
        <w:t>10.58</w:t>
      </w:r>
      <w:r>
        <w:rPr>
          <w:rFonts w:hint="eastAsia" w:ascii="仿宋_GB2312" w:eastAsia="仿宋_GB2312" w:cs="DengXian-Regular"/>
          <w:sz w:val="32"/>
          <w:szCs w:val="32"/>
          <w:highlight w:val="none"/>
          <w:lang w:bidi="ar-SA"/>
        </w:rPr>
        <w:t>%,比年初预算</w:t>
      </w:r>
      <w:r>
        <w:rPr>
          <w:rFonts w:hint="eastAsia" w:ascii="仿宋_GB2312" w:eastAsia="仿宋_GB2312" w:cs="DengXian-Regular"/>
          <w:sz w:val="32"/>
          <w:szCs w:val="32"/>
          <w:highlight w:val="none"/>
          <w:lang w:val="en-US" w:eastAsia="zh-CN" w:bidi="ar-SA"/>
        </w:rPr>
        <w:t>减少10.11</w:t>
      </w:r>
      <w:r>
        <w:rPr>
          <w:rFonts w:hint="eastAsia" w:ascii="仿宋_GB2312" w:eastAsia="仿宋_GB2312" w:cs="DengXian-Regular"/>
          <w:sz w:val="32"/>
          <w:szCs w:val="32"/>
          <w:highlight w:val="none"/>
          <w:lang w:bidi="ar-SA"/>
        </w:rPr>
        <w:t>万元，决算数</w:t>
      </w:r>
      <w:r>
        <w:rPr>
          <w:rFonts w:hint="eastAsia" w:ascii="仿宋_GB2312" w:eastAsia="仿宋_GB2312" w:cs="DengXian-Regular"/>
          <w:sz w:val="32"/>
          <w:szCs w:val="32"/>
          <w:highlight w:val="none"/>
          <w:lang w:val="en-US" w:eastAsia="zh-CN" w:bidi="ar-SA"/>
        </w:rPr>
        <w:t>大</w:t>
      </w:r>
      <w:r>
        <w:rPr>
          <w:rFonts w:hint="eastAsia" w:ascii="仿宋_GB2312" w:eastAsia="仿宋_GB2312" w:cs="DengXian-Regular"/>
          <w:sz w:val="32"/>
          <w:szCs w:val="32"/>
          <w:highlight w:val="none"/>
          <w:lang w:bidi="ar-SA"/>
        </w:rPr>
        <w:t>于预算数主要原因是202</w:t>
      </w:r>
      <w:r>
        <w:rPr>
          <w:rFonts w:hint="eastAsia" w:ascii="仿宋_GB2312" w:eastAsia="仿宋_GB2312" w:cs="DengXian-Regular"/>
          <w:sz w:val="32"/>
          <w:szCs w:val="32"/>
          <w:highlight w:val="none"/>
          <w:lang w:val="en-US" w:eastAsia="zh-CN" w:bidi="ar-SA"/>
        </w:rPr>
        <w:t>5</w:t>
      </w:r>
      <w:r>
        <w:rPr>
          <w:rFonts w:hint="eastAsia" w:ascii="仿宋_GB2312" w:eastAsia="仿宋_GB2312" w:cs="DengXian-Regular"/>
          <w:sz w:val="32"/>
          <w:szCs w:val="32"/>
          <w:highlight w:val="none"/>
          <w:lang w:bidi="ar-SA"/>
        </w:rPr>
        <w:t>年度</w:t>
      </w:r>
      <w:r>
        <w:rPr>
          <w:rFonts w:hint="eastAsia" w:ascii="仿宋_GB2312" w:eastAsia="仿宋_GB2312" w:cs="DengXian-Regular"/>
          <w:sz w:val="32"/>
          <w:szCs w:val="32"/>
          <w:highlight w:val="none"/>
          <w:lang w:val="en-US" w:eastAsia="zh-CN" w:bidi="ar-SA"/>
        </w:rPr>
        <w:t>项目资金增加了，增加了开评标场地提升费用；本年支出95.52万元，完成年初预算的10.58%，比年初预算增加10.11万元，决算数大于预算数主要原因是2025年项目资金增加了，增加了开评标场地提升费用。</w:t>
      </w:r>
    </w:p>
    <w:p w14:paraId="21879AF4">
      <w:pPr>
        <w:keepNext w:val="0"/>
        <w:keepLines w:val="0"/>
        <w:pageBreakBefore w:val="0"/>
        <w:widowControl w:val="0"/>
        <w:kinsoku/>
        <w:wordWrap/>
        <w:overflowPunct/>
        <w:topLinePunct w:val="0"/>
        <w:autoSpaceDE/>
        <w:autoSpaceDN/>
        <w:bidi w:val="0"/>
        <w:spacing w:line="520" w:lineRule="exact"/>
        <w:ind w:firstLine="643" w:firstLineChars="200"/>
        <w:jc w:val="left"/>
        <w:textAlignment w:val="auto"/>
        <w:rPr>
          <w:rFonts w:ascii="仿宋" w:hAnsi="仿宋" w:eastAsia="仿宋" w:cs="楷体_GB2312"/>
          <w:b/>
          <w:bCs/>
          <w:sz w:val="32"/>
          <w:szCs w:val="32"/>
        </w:rPr>
      </w:pPr>
      <w:r>
        <w:rPr>
          <w:rFonts w:hint="eastAsia" w:ascii="仿宋" w:hAnsi="仿宋" w:eastAsia="仿宋" w:cs="楷体_GB2312"/>
          <w:b/>
          <w:bCs/>
          <w:sz w:val="32"/>
          <w:szCs w:val="32"/>
        </w:rPr>
        <w:t>（三）部门整体支出绩效目标、指标</w:t>
      </w:r>
    </w:p>
    <w:p w14:paraId="08BE061B">
      <w:pPr>
        <w:keepNext w:val="0"/>
        <w:keepLines w:val="0"/>
        <w:pageBreakBefore w:val="0"/>
        <w:widowControl w:val="0"/>
        <w:kinsoku/>
        <w:wordWrap/>
        <w:overflowPunct/>
        <w:topLinePunct w:val="0"/>
        <w:autoSpaceDE/>
        <w:autoSpaceDN/>
        <w:bidi w:val="0"/>
        <w:snapToGrid w:val="0"/>
        <w:spacing w:line="520" w:lineRule="exact"/>
        <w:ind w:firstLine="640" w:firstLineChars="200"/>
        <w:jc w:val="left"/>
        <w:textAlignment w:val="auto"/>
        <w:rPr>
          <w:rFonts w:hint="eastAsia" w:ascii="仿宋_GB2312" w:hAnsi="仿宋" w:eastAsia="仿宋_GB2312" w:cs="仿宋_GB2312"/>
          <w:sz w:val="32"/>
          <w:szCs w:val="32"/>
        </w:rPr>
      </w:pP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年以来，我单位紧紧围绕县委、县政府的中心工作部署和安排，坚持“小单位、大事业”的工作理念，强化管理，优化服务，开拓进取，较好完成了工作任务；同时持之以恒抓好党风廉政建设，促进了全县公共资源交易的健</w:t>
      </w:r>
      <w:bookmarkStart w:id="0" w:name="_GoBack"/>
      <w:bookmarkEnd w:id="0"/>
      <w:r>
        <w:rPr>
          <w:rFonts w:hint="eastAsia" w:ascii="仿宋_GB2312" w:hAnsi="仿宋_GB2312" w:eastAsia="仿宋_GB2312" w:cs="仿宋_GB2312"/>
          <w:sz w:val="32"/>
          <w:szCs w:val="32"/>
        </w:rPr>
        <w:t>康有序发展。</w:t>
      </w:r>
      <w:r>
        <w:rPr>
          <w:rFonts w:hint="eastAsia" w:ascii="仿宋_GB2312" w:hAnsi="仿宋" w:eastAsia="仿宋_GB2312" w:cs="仿宋_GB2312"/>
          <w:sz w:val="32"/>
          <w:szCs w:val="32"/>
          <w:lang w:val="en-US" w:eastAsia="zh-CN"/>
        </w:rPr>
        <w:t>本单位严格按照绩效执行</w:t>
      </w:r>
      <w:r>
        <w:rPr>
          <w:rFonts w:ascii="仿宋_GB2312" w:hAnsi="仿宋" w:eastAsia="仿宋_GB2312" w:cs="仿宋_GB2312"/>
          <w:sz w:val="32"/>
          <w:szCs w:val="32"/>
          <w:lang w:val="en-US" w:eastAsia="zh-CN"/>
        </w:rPr>
        <w:t>，</w:t>
      </w:r>
      <w:r>
        <w:rPr>
          <w:rFonts w:hint="eastAsia" w:ascii="仿宋_GB2312" w:hAnsi="仿宋" w:eastAsia="仿宋_GB2312" w:cs="仿宋_GB2312"/>
          <w:sz w:val="32"/>
          <w:szCs w:val="32"/>
          <w:lang w:val="en-US" w:eastAsia="zh-CN"/>
        </w:rPr>
        <w:t>加强组织领导，完善制度建设，优化支出管理，规范财务资产管理，加强内部监督，加强培训调研宣传。</w:t>
      </w:r>
    </w:p>
    <w:p w14:paraId="78AF2FF7">
      <w:pPr>
        <w:keepNext w:val="0"/>
        <w:keepLines w:val="0"/>
        <w:pageBreakBefore w:val="0"/>
        <w:widowControl w:val="0"/>
        <w:kinsoku/>
        <w:wordWrap/>
        <w:overflowPunct/>
        <w:topLinePunct w:val="0"/>
        <w:autoSpaceDE/>
        <w:autoSpaceDN/>
        <w:bidi w:val="0"/>
        <w:adjustRightInd w:val="0"/>
        <w:snapToGrid w:val="0"/>
        <w:spacing w:line="520" w:lineRule="exact"/>
        <w:ind w:left="0" w:firstLine="640" w:firstLineChars="200"/>
        <w:textAlignment w:val="auto"/>
        <w:rPr>
          <w:rFonts w:ascii="黑体" w:hAnsi="黑体" w:eastAsia="黑体"/>
          <w:sz w:val="32"/>
          <w:szCs w:val="32"/>
        </w:rPr>
      </w:pPr>
      <w:r>
        <w:rPr>
          <w:rFonts w:hint="eastAsia" w:ascii="黑体" w:hAnsi="黑体" w:eastAsia="黑体"/>
          <w:sz w:val="32"/>
          <w:szCs w:val="32"/>
        </w:rPr>
        <w:t>二、自评工作开展情况</w:t>
      </w:r>
    </w:p>
    <w:p w14:paraId="174B6219">
      <w:pPr>
        <w:keepNext w:val="0"/>
        <w:keepLines w:val="0"/>
        <w:pageBreakBefore w:val="0"/>
        <w:widowControl w:val="0"/>
        <w:kinsoku/>
        <w:wordWrap/>
        <w:overflowPunct/>
        <w:topLinePunct w:val="0"/>
        <w:autoSpaceDE/>
        <w:autoSpaceDN/>
        <w:bidi w:val="0"/>
        <w:spacing w:line="520" w:lineRule="exact"/>
        <w:ind w:firstLine="630" w:firstLineChars="196"/>
        <w:textAlignment w:val="auto"/>
        <w:rPr>
          <w:rFonts w:ascii="仿宋" w:hAnsi="仿宋" w:eastAsia="仿宋" w:cs="楷体_GB2312"/>
          <w:sz w:val="32"/>
          <w:szCs w:val="32"/>
        </w:rPr>
      </w:pPr>
      <w:r>
        <w:rPr>
          <w:rFonts w:hint="eastAsia" w:ascii="仿宋" w:hAnsi="仿宋" w:eastAsia="仿宋" w:cs="楷体_GB2312"/>
          <w:b/>
          <w:bCs/>
          <w:sz w:val="32"/>
          <w:szCs w:val="32"/>
        </w:rPr>
        <w:t>（一）自评的组织工作</w:t>
      </w:r>
    </w:p>
    <w:p w14:paraId="09FB04AF">
      <w:pPr>
        <w:keepNext w:val="0"/>
        <w:keepLines w:val="0"/>
        <w:pageBreakBefore w:val="0"/>
        <w:widowControl w:val="0"/>
        <w:kinsoku/>
        <w:wordWrap/>
        <w:overflowPunct/>
        <w:topLinePunct w:val="0"/>
        <w:autoSpaceDE/>
        <w:autoSpaceDN/>
        <w:bidi w:val="0"/>
        <w:spacing w:line="520" w:lineRule="exact"/>
        <w:ind w:firstLine="633" w:firstLineChars="198"/>
        <w:textAlignment w:val="auto"/>
        <w:rPr>
          <w:rFonts w:hint="eastAsia" w:ascii="仿宋_GB2312" w:hAnsi="宋体" w:eastAsia="仿宋_GB2312" w:cs="宋体"/>
          <w:bCs/>
          <w:sz w:val="32"/>
          <w:szCs w:val="32"/>
        </w:rPr>
      </w:pPr>
      <w:r>
        <w:rPr>
          <w:rFonts w:hint="eastAsia" w:ascii="仿宋_GB2312" w:hAnsi="微软雅黑" w:eastAsia="仿宋_GB2312" w:cs="宋体"/>
          <w:color w:val="333333"/>
          <w:kern w:val="0"/>
          <w:sz w:val="32"/>
          <w:szCs w:val="32"/>
        </w:rPr>
        <w:t>我</w:t>
      </w:r>
      <w:r>
        <w:rPr>
          <w:rFonts w:ascii="仿宋_GB2312" w:hAnsi="微软雅黑" w:eastAsia="仿宋_GB2312" w:cs="宋体"/>
          <w:color w:val="333333"/>
          <w:kern w:val="0"/>
          <w:sz w:val="32"/>
          <w:szCs w:val="32"/>
        </w:rPr>
        <w:t>单位</w:t>
      </w:r>
      <w:r>
        <w:rPr>
          <w:rFonts w:hint="eastAsia" w:ascii="仿宋_GB2312" w:hAnsi="微软雅黑" w:eastAsia="仿宋_GB2312" w:cs="宋体"/>
          <w:color w:val="333333"/>
          <w:kern w:val="0"/>
          <w:sz w:val="32"/>
          <w:szCs w:val="32"/>
        </w:rPr>
        <w:t>高度重视此项预算项目绩效自评工作，积极开展，认真部署，</w:t>
      </w:r>
      <w:r>
        <w:rPr>
          <w:rFonts w:hint="eastAsia" w:ascii="仿宋_GB2312" w:hAnsi="宋体" w:eastAsia="仿宋_GB2312" w:cs="宋体"/>
          <w:sz w:val="32"/>
          <w:szCs w:val="32"/>
        </w:rPr>
        <w:t>成立了绩效评价工作小组，中心主任为组长，相关科室负责人为成员，负责绩效评价的组织管理和实施工作。</w:t>
      </w:r>
    </w:p>
    <w:p w14:paraId="654878EC">
      <w:pPr>
        <w:keepNext w:val="0"/>
        <w:keepLines w:val="0"/>
        <w:pageBreakBefore w:val="0"/>
        <w:widowControl w:val="0"/>
        <w:numPr>
          <w:ilvl w:val="0"/>
          <w:numId w:val="1"/>
        </w:numPr>
        <w:kinsoku/>
        <w:wordWrap/>
        <w:overflowPunct/>
        <w:topLinePunct w:val="0"/>
        <w:autoSpaceDE/>
        <w:autoSpaceDN/>
        <w:bidi w:val="0"/>
        <w:spacing w:line="520" w:lineRule="exact"/>
        <w:textAlignment w:val="auto"/>
        <w:rPr>
          <w:rFonts w:ascii="仿宋" w:hAnsi="仿宋" w:eastAsia="仿宋" w:cs="楷体_GB2312"/>
          <w:b/>
          <w:bCs/>
          <w:sz w:val="32"/>
          <w:szCs w:val="32"/>
        </w:rPr>
      </w:pPr>
      <w:r>
        <w:rPr>
          <w:rFonts w:hint="eastAsia" w:ascii="仿宋" w:hAnsi="仿宋" w:eastAsia="仿宋" w:cs="楷体_GB2312"/>
          <w:b/>
          <w:bCs/>
          <w:sz w:val="32"/>
          <w:szCs w:val="32"/>
        </w:rPr>
        <w:t>自评的方法和过程</w:t>
      </w:r>
    </w:p>
    <w:p w14:paraId="0191168B">
      <w:pPr>
        <w:keepNext w:val="0"/>
        <w:keepLines w:val="0"/>
        <w:pageBreakBefore w:val="0"/>
        <w:widowControl w:val="0"/>
        <w:kinsoku/>
        <w:wordWrap/>
        <w:overflowPunct/>
        <w:topLinePunct w:val="0"/>
        <w:autoSpaceDE/>
        <w:autoSpaceDN/>
        <w:bidi w:val="0"/>
        <w:spacing w:line="520" w:lineRule="exact"/>
        <w:ind w:firstLine="640" w:firstLineChars="200"/>
        <w:jc w:val="left"/>
        <w:textAlignment w:val="auto"/>
        <w:rPr>
          <w:rFonts w:hint="eastAsia" w:ascii="仿宋_GB2312" w:hAnsi="仿宋" w:eastAsia="仿宋_GB2312"/>
          <w:sz w:val="32"/>
          <w:szCs w:val="32"/>
        </w:rPr>
      </w:pPr>
      <w:r>
        <w:rPr>
          <w:rFonts w:hint="eastAsia" w:ascii="仿宋_GB2312" w:hAnsi="仿宋" w:eastAsia="仿宋_GB2312"/>
          <w:sz w:val="32"/>
          <w:szCs w:val="32"/>
        </w:rPr>
        <w:t>财务人员通过财政一体化平台导出202</w:t>
      </w:r>
      <w:r>
        <w:rPr>
          <w:rFonts w:hint="eastAsia" w:ascii="仿宋_GB2312" w:hAnsi="仿宋" w:eastAsia="仿宋_GB2312"/>
          <w:sz w:val="32"/>
          <w:szCs w:val="32"/>
          <w:lang w:val="en-US" w:eastAsia="zh-CN"/>
        </w:rPr>
        <w:t>5</w:t>
      </w:r>
      <w:r>
        <w:rPr>
          <w:rFonts w:hint="eastAsia" w:ascii="仿宋_GB2312" w:hAnsi="仿宋" w:eastAsia="仿宋_GB2312"/>
          <w:sz w:val="32"/>
          <w:szCs w:val="32"/>
        </w:rPr>
        <w:t>年全部项目的绩效目标指标数据和预算项目支出明细账分发给绩效自评工作办公室。根据责任需要，协助查阅相关支付凭证和单据。</w:t>
      </w:r>
    </w:p>
    <w:p w14:paraId="15D6ADF0">
      <w:pPr>
        <w:keepNext w:val="0"/>
        <w:keepLines w:val="0"/>
        <w:pageBreakBefore w:val="0"/>
        <w:widowControl w:val="0"/>
        <w:kinsoku/>
        <w:wordWrap/>
        <w:overflowPunct/>
        <w:topLinePunct w:val="0"/>
        <w:autoSpaceDE/>
        <w:autoSpaceDN/>
        <w:bidi w:val="0"/>
        <w:spacing w:line="520" w:lineRule="exact"/>
        <w:ind w:firstLine="640" w:firstLineChars="200"/>
        <w:jc w:val="left"/>
        <w:textAlignment w:val="auto"/>
        <w:rPr>
          <w:rFonts w:hint="eastAsia" w:ascii="楷体_GB2312" w:hAnsi="楷体_GB2312" w:eastAsia="楷体_GB2312" w:cs="楷体_GB2312"/>
          <w:b/>
          <w:bCs/>
          <w:sz w:val="32"/>
          <w:szCs w:val="32"/>
        </w:rPr>
      </w:pPr>
      <w:r>
        <w:rPr>
          <w:rFonts w:hint="eastAsia" w:ascii="仿宋_GB2312" w:hAnsi="仿宋" w:eastAsia="仿宋_GB2312"/>
          <w:sz w:val="32"/>
          <w:szCs w:val="32"/>
        </w:rPr>
        <w:t>财务室根据年初填报的《绩效目标申报表》，对本处室负责的项目分别编写《预算项目绩效自评表》并逐项开展自评。全部项目自评完成后，财务室根据整体自评情况填写《自评工作考核表》并形成《年度绩效自评工作报告》。</w:t>
      </w:r>
    </w:p>
    <w:p w14:paraId="02549B97">
      <w:pPr>
        <w:keepNext w:val="0"/>
        <w:keepLines w:val="0"/>
        <w:pageBreakBefore w:val="0"/>
        <w:widowControl w:val="0"/>
        <w:kinsoku/>
        <w:wordWrap/>
        <w:overflowPunct/>
        <w:topLinePunct w:val="0"/>
        <w:autoSpaceDE/>
        <w:autoSpaceDN/>
        <w:bidi w:val="0"/>
        <w:spacing w:line="520" w:lineRule="exact"/>
        <w:ind w:firstLine="480" w:firstLineChars="150"/>
        <w:textAlignment w:val="auto"/>
        <w:rPr>
          <w:rFonts w:ascii="黑体" w:hAnsi="黑体" w:eastAsia="黑体"/>
          <w:b/>
          <w:bCs/>
          <w:sz w:val="32"/>
          <w:szCs w:val="32"/>
        </w:rPr>
      </w:pPr>
      <w:r>
        <w:rPr>
          <w:rFonts w:hint="eastAsia" w:ascii="黑体" w:hAnsi="黑体" w:eastAsia="黑体"/>
          <w:sz w:val="32"/>
          <w:szCs w:val="32"/>
        </w:rPr>
        <w:t>三、部门整体支出绩效目标实现情况及指标分析</w:t>
      </w:r>
    </w:p>
    <w:p w14:paraId="595C1BF4">
      <w:pPr>
        <w:keepNext w:val="0"/>
        <w:keepLines w:val="0"/>
        <w:pageBreakBefore w:val="0"/>
        <w:widowControl w:val="0"/>
        <w:numPr>
          <w:ilvl w:val="0"/>
          <w:numId w:val="2"/>
        </w:numPr>
        <w:kinsoku/>
        <w:wordWrap/>
        <w:overflowPunct/>
        <w:topLinePunct w:val="0"/>
        <w:autoSpaceDE/>
        <w:autoSpaceDN/>
        <w:bidi w:val="0"/>
        <w:spacing w:line="520" w:lineRule="exact"/>
        <w:ind w:left="0" w:firstLine="643" w:firstLineChars="200"/>
        <w:textAlignment w:val="auto"/>
        <w:rPr>
          <w:rFonts w:ascii="仿宋" w:hAnsi="仿宋" w:eastAsia="仿宋" w:cs="楷体_GB2312"/>
          <w:b/>
          <w:bCs/>
          <w:sz w:val="32"/>
          <w:szCs w:val="32"/>
        </w:rPr>
      </w:pPr>
      <w:r>
        <w:rPr>
          <w:rFonts w:hint="eastAsia" w:ascii="仿宋" w:hAnsi="仿宋" w:eastAsia="仿宋" w:cs="楷体_GB2312"/>
          <w:b/>
          <w:bCs/>
          <w:sz w:val="32"/>
          <w:szCs w:val="32"/>
        </w:rPr>
        <w:t>总体绩效目标实现情况</w:t>
      </w:r>
    </w:p>
    <w:p w14:paraId="4C9D1C30">
      <w:pPr>
        <w:keepNext w:val="0"/>
        <w:keepLines w:val="0"/>
        <w:pageBreakBefore w:val="0"/>
        <w:widowControl w:val="0"/>
        <w:kinsoku/>
        <w:wordWrap/>
        <w:overflowPunct/>
        <w:topLinePunct w:val="0"/>
        <w:autoSpaceDE/>
        <w:autoSpaceDN/>
        <w:bidi w:val="0"/>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根据</w:t>
      </w:r>
      <w:r>
        <w:rPr>
          <w:rFonts w:ascii="仿宋_GB2312" w:hAnsi="仿宋_GB2312" w:eastAsia="仿宋_GB2312" w:cs="仿宋_GB2312"/>
          <w:sz w:val="32"/>
          <w:szCs w:val="32"/>
        </w:rPr>
        <w:t>单位</w:t>
      </w:r>
      <w:r>
        <w:rPr>
          <w:rFonts w:hint="eastAsia" w:ascii="仿宋_GB2312" w:hAnsi="仿宋_GB2312" w:eastAsia="仿宋_GB2312" w:cs="仿宋_GB2312"/>
          <w:sz w:val="32"/>
          <w:szCs w:val="32"/>
        </w:rPr>
        <w:t>年初工作规划和重点性工作，围绕县委、县政府要求较好的完成了年度目标工作。通过加强预算收支管理，不断健全内部管理制度，部门整体支出管理情况得到提升。支出总额控制在预算总额以内。</w:t>
      </w:r>
    </w:p>
    <w:p w14:paraId="0A36736C">
      <w:pPr>
        <w:keepNext w:val="0"/>
        <w:keepLines w:val="0"/>
        <w:pageBreakBefore w:val="0"/>
        <w:widowControl w:val="0"/>
        <w:kinsoku/>
        <w:wordWrap/>
        <w:overflowPunct/>
        <w:topLinePunct w:val="0"/>
        <w:autoSpaceDE/>
        <w:autoSpaceDN/>
        <w:bidi w:val="0"/>
        <w:spacing w:line="520" w:lineRule="exact"/>
        <w:textAlignment w:val="auto"/>
        <w:rPr>
          <w:rFonts w:ascii="仿宋" w:hAnsi="仿宋" w:eastAsia="仿宋"/>
          <w:b/>
          <w:bCs/>
          <w:sz w:val="32"/>
          <w:szCs w:val="32"/>
        </w:rPr>
      </w:pPr>
      <w:r>
        <w:rPr>
          <w:rFonts w:hint="eastAsia" w:ascii="仿宋" w:hAnsi="仿宋" w:eastAsia="仿宋" w:cs="楷体_GB2312"/>
          <w:b/>
          <w:bCs/>
          <w:sz w:val="32"/>
          <w:szCs w:val="32"/>
        </w:rPr>
        <w:t xml:space="preserve">    （二）分项绩效目标实现情况及指标分析</w:t>
      </w:r>
    </w:p>
    <w:p w14:paraId="0A91F4DE">
      <w:pPr>
        <w:keepNext w:val="0"/>
        <w:keepLines w:val="0"/>
        <w:pageBreakBefore w:val="0"/>
        <w:widowControl w:val="0"/>
        <w:kinsoku/>
        <w:wordWrap/>
        <w:overflowPunct/>
        <w:topLinePunct w:val="0"/>
        <w:autoSpaceDE/>
        <w:autoSpaceDN/>
        <w:bidi w:val="0"/>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1、完善服务机制，实现公共资源交易全流程电子化</w:t>
      </w:r>
    </w:p>
    <w:p w14:paraId="5EDB620A">
      <w:pPr>
        <w:keepNext w:val="0"/>
        <w:keepLines w:val="0"/>
        <w:pageBreakBefore w:val="0"/>
        <w:widowControl w:val="0"/>
        <w:kinsoku/>
        <w:wordWrap/>
        <w:overflowPunct/>
        <w:topLinePunct w:val="0"/>
        <w:autoSpaceDE/>
        <w:autoSpaceDN/>
        <w:bidi w:val="0"/>
        <w:spacing w:line="520" w:lineRule="exact"/>
        <w:ind w:firstLine="640" w:firstLineChars="200"/>
        <w:textAlignment w:val="auto"/>
        <w:rPr>
          <w:rFonts w:hint="eastAsia" w:ascii="仿宋_GB2312" w:hAnsi="仿宋_GB2312" w:eastAsia="仿宋_GB2312" w:cs="仿宋_GB2312"/>
          <w:sz w:val="32"/>
          <w:szCs w:val="32"/>
        </w:rPr>
      </w:pPr>
      <w:r>
        <w:rPr>
          <w:rFonts w:ascii="仿宋_GB2312" w:hAnsi="仿宋_GB2312" w:eastAsia="仿宋_GB2312" w:cs="仿宋_GB2312"/>
          <w:sz w:val="32"/>
          <w:szCs w:val="32"/>
        </w:rPr>
        <w:t>一是</w:t>
      </w:r>
      <w:r>
        <w:rPr>
          <w:rFonts w:hint="eastAsia" w:ascii="仿宋_GB2312" w:hAnsi="仿宋_GB2312" w:eastAsia="仿宋_GB2312" w:cs="仿宋_GB2312"/>
          <w:sz w:val="32"/>
          <w:szCs w:val="32"/>
        </w:rPr>
        <w:t>依照《省政府办公厅转发的省政务服务管理办公室关于深化公共资源交易平台整合共享的实施方案》和《石家庄市行政审批局关于进一步深化公共资源交易平台整合共享的通知》，对中心现有的各项制度进行梳理、修订和总结，对交易各项环节中出现的制度漏洞进行补充完善，保证公共资源交易活动规范、便捷、高效运行。二是推进诚信建设。进一步规范各方交易主体的市场行为，对在检查中发现的问题提出限时整改意见。三是 “双盲”机制，打造公平公正的交易环境。目前，我县已实现公共资源交易全流程电子化。</w:t>
      </w:r>
    </w:p>
    <w:p w14:paraId="6B409EDC">
      <w:pPr>
        <w:keepNext w:val="0"/>
        <w:keepLines w:val="0"/>
        <w:pageBreakBefore w:val="0"/>
        <w:widowControl w:val="0"/>
        <w:kinsoku/>
        <w:wordWrap/>
        <w:overflowPunct/>
        <w:topLinePunct w:val="0"/>
        <w:autoSpaceDE/>
        <w:autoSpaceDN/>
        <w:bidi w:val="0"/>
        <w:spacing w:line="520" w:lineRule="exact"/>
        <w:ind w:firstLine="640" w:firstLineChars="200"/>
        <w:textAlignment w:val="auto"/>
        <w:rPr>
          <w:rFonts w:hint="eastAsia" w:ascii="仿宋_GB2312" w:hAnsi="仿宋_GB2312" w:eastAsia="仿宋_GB2312" w:cs="仿宋_GB2312"/>
          <w:sz w:val="32"/>
          <w:szCs w:val="32"/>
        </w:rPr>
      </w:pPr>
      <w:r>
        <w:rPr>
          <w:rFonts w:ascii="仿宋_GB2312" w:hAnsi="仿宋_GB2312" w:eastAsia="仿宋_GB2312" w:cs="仿宋_GB2312"/>
          <w:sz w:val="32"/>
          <w:szCs w:val="32"/>
        </w:rPr>
        <w:t>2、</w:t>
      </w:r>
      <w:r>
        <w:rPr>
          <w:rFonts w:hint="eastAsia" w:ascii="仿宋_GB2312" w:hAnsi="仿宋_GB2312" w:eastAsia="仿宋_GB2312" w:cs="仿宋_GB2312"/>
          <w:sz w:val="32"/>
          <w:szCs w:val="32"/>
        </w:rPr>
        <w:t>树立服务意识，进一步提升工作效能</w:t>
      </w:r>
    </w:p>
    <w:p w14:paraId="70DCED36">
      <w:pPr>
        <w:keepNext w:val="0"/>
        <w:keepLines w:val="0"/>
        <w:pageBreakBefore w:val="0"/>
        <w:widowControl w:val="0"/>
        <w:kinsoku/>
        <w:wordWrap/>
        <w:overflowPunct/>
        <w:topLinePunct w:val="0"/>
        <w:autoSpaceDE/>
        <w:autoSpaceDN/>
        <w:bidi w:val="0"/>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是明确责任抓落实。对每一个招标项目都必须明确具体责任人，对每一项具体工作都制定目标计划，做到目标、重点、措施、进度、责任“五明确”。二是转变服务理念。主动融入和服务重大项目建设，为招投标当事人提供政策咨询、程序引导、业务指导等服务。</w:t>
      </w:r>
    </w:p>
    <w:p w14:paraId="0BEEEBED">
      <w:pPr>
        <w:keepNext w:val="0"/>
        <w:keepLines w:val="0"/>
        <w:pageBreakBefore w:val="0"/>
        <w:widowControl w:val="0"/>
        <w:kinsoku/>
        <w:wordWrap/>
        <w:overflowPunct/>
        <w:topLinePunct w:val="0"/>
        <w:autoSpaceDE/>
        <w:autoSpaceDN/>
        <w:bidi w:val="0"/>
        <w:spacing w:line="520" w:lineRule="exact"/>
        <w:ind w:firstLine="640" w:firstLineChars="200"/>
        <w:textAlignment w:val="auto"/>
        <w:rPr>
          <w:rFonts w:hint="eastAsia" w:ascii="仿宋_GB2312" w:hAnsi="仿宋_GB2312" w:eastAsia="仿宋_GB2312" w:cs="仿宋_GB2312"/>
          <w:sz w:val="32"/>
          <w:szCs w:val="32"/>
        </w:rPr>
      </w:pPr>
      <w:r>
        <w:rPr>
          <w:rFonts w:ascii="仿宋_GB2312" w:hAnsi="仿宋_GB2312" w:eastAsia="仿宋_GB2312" w:cs="仿宋_GB2312"/>
          <w:sz w:val="32"/>
          <w:szCs w:val="32"/>
        </w:rPr>
        <w:t>3、</w:t>
      </w:r>
      <w:r>
        <w:rPr>
          <w:rFonts w:hint="eastAsia" w:ascii="仿宋_GB2312" w:hAnsi="仿宋_GB2312" w:eastAsia="仿宋_GB2312" w:cs="仿宋_GB2312"/>
          <w:sz w:val="32"/>
          <w:szCs w:val="32"/>
        </w:rPr>
        <w:t>树立实干意识，进一步优化内部管理</w:t>
      </w:r>
    </w:p>
    <w:p w14:paraId="6A21C088">
      <w:pPr>
        <w:keepNext w:val="0"/>
        <w:keepLines w:val="0"/>
        <w:pageBreakBefore w:val="0"/>
        <w:widowControl w:val="0"/>
        <w:kinsoku/>
        <w:wordWrap/>
        <w:overflowPunct/>
        <w:topLinePunct w:val="0"/>
        <w:autoSpaceDE/>
        <w:autoSpaceDN/>
        <w:bidi w:val="0"/>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以教育强素质，推动工作落实，积极开展各种学习培训活动。一是贯彻学习与招投标相关的法律法规，分专业、分层次对照条例原文逐项逐条认真学习。二是加强交流学习。做好中心工作人员廉政及行风教育工作，积极开展外出学习、业务培训，进一步提高干部队伍政治业务素质。</w:t>
      </w:r>
    </w:p>
    <w:p w14:paraId="59748B9E">
      <w:pPr>
        <w:keepNext w:val="0"/>
        <w:keepLines w:val="0"/>
        <w:pageBreakBefore w:val="0"/>
        <w:widowControl w:val="0"/>
        <w:kinsoku/>
        <w:wordWrap/>
        <w:overflowPunct/>
        <w:topLinePunct w:val="0"/>
        <w:autoSpaceDE/>
        <w:autoSpaceDN/>
        <w:bidi w:val="0"/>
        <w:spacing w:line="520" w:lineRule="exact"/>
        <w:ind w:firstLine="640" w:firstLineChars="200"/>
        <w:textAlignment w:val="auto"/>
        <w:rPr>
          <w:rFonts w:ascii="黑体" w:hAnsi="黑体" w:eastAsia="黑体"/>
          <w:sz w:val="32"/>
          <w:szCs w:val="32"/>
        </w:rPr>
      </w:pPr>
      <w:r>
        <w:rPr>
          <w:rFonts w:hint="eastAsia" w:ascii="黑体" w:hAnsi="黑体" w:eastAsia="黑体"/>
          <w:sz w:val="32"/>
          <w:szCs w:val="32"/>
        </w:rPr>
        <w:t>四、评价结论和评价等级</w:t>
      </w:r>
    </w:p>
    <w:p w14:paraId="0B17D156">
      <w:pPr>
        <w:keepNext w:val="0"/>
        <w:keepLines w:val="0"/>
        <w:pageBreakBefore w:val="0"/>
        <w:widowControl w:val="0"/>
        <w:kinsoku/>
        <w:wordWrap/>
        <w:overflowPunct/>
        <w:topLinePunct w:val="0"/>
        <w:autoSpaceDE/>
        <w:autoSpaceDN/>
        <w:bidi w:val="0"/>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根据部门职责定位和各项工作履职情况进行综合评价，给出得分100分，得出综合绩效评价等级为优秀。</w:t>
      </w:r>
    </w:p>
    <w:p w14:paraId="62E2334E">
      <w:pPr>
        <w:keepNext w:val="0"/>
        <w:keepLines w:val="0"/>
        <w:pageBreakBefore w:val="0"/>
        <w:widowControl w:val="0"/>
        <w:kinsoku/>
        <w:wordWrap/>
        <w:overflowPunct/>
        <w:topLinePunct w:val="0"/>
        <w:autoSpaceDE/>
        <w:autoSpaceDN/>
        <w:bidi w:val="0"/>
        <w:spacing w:line="520" w:lineRule="exact"/>
        <w:ind w:firstLine="643" w:firstLineChars="200"/>
        <w:textAlignment w:val="auto"/>
        <w:rPr>
          <w:rFonts w:hint="eastAsia" w:ascii="宋体" w:hAnsi="宋体" w:cs="宋体"/>
          <w:b/>
          <w:bCs/>
          <w:sz w:val="32"/>
          <w:szCs w:val="32"/>
        </w:rPr>
      </w:pPr>
      <w:r>
        <w:rPr>
          <w:rFonts w:hint="eastAsia" w:ascii="宋体" w:hAnsi="宋体" w:cs="宋体"/>
          <w:b/>
          <w:bCs/>
          <w:sz w:val="32"/>
          <w:szCs w:val="32"/>
        </w:rPr>
        <w:t>五、存在的问题及改进措施</w:t>
      </w:r>
    </w:p>
    <w:p w14:paraId="681BBE09">
      <w:pPr>
        <w:keepNext w:val="0"/>
        <w:keepLines w:val="0"/>
        <w:pageBreakBefore w:val="0"/>
        <w:widowControl w:val="0"/>
        <w:kinsoku/>
        <w:wordWrap/>
        <w:overflowPunct/>
        <w:topLinePunct w:val="0"/>
        <w:autoSpaceDE/>
        <w:autoSpaceDN/>
        <w:bidi w:val="0"/>
        <w:spacing w:line="520" w:lineRule="exact"/>
        <w:ind w:firstLine="640" w:firstLineChars="200"/>
        <w:textAlignment w:val="auto"/>
        <w:rPr>
          <w:rFonts w:ascii="Calibri" w:hAnsi="Calibri" w:eastAsia="仿宋_GB2312" w:cs="宋体"/>
          <w:sz w:val="32"/>
          <w:szCs w:val="32"/>
        </w:rPr>
      </w:pPr>
      <w:r>
        <w:rPr>
          <w:rFonts w:hint="eastAsia" w:ascii="仿宋_GB2312" w:hAnsi="宋体" w:eastAsia="仿宋_GB2312" w:cs="宋体"/>
          <w:sz w:val="32"/>
          <w:szCs w:val="32"/>
        </w:rPr>
        <w:t>（一）精细管理预算编制。要及时做好预算编制。严格按照预算管理要求，</w:t>
      </w:r>
      <w:r>
        <w:rPr>
          <w:rFonts w:hint="eastAsia" w:ascii="Calibri" w:hAnsi="Calibri" w:eastAsia="仿宋_GB2312" w:cs="宋体"/>
          <w:sz w:val="32"/>
          <w:szCs w:val="32"/>
        </w:rPr>
        <w:t>提高预算编制科学性和合理性，优化资金结构，</w:t>
      </w:r>
      <w:r>
        <w:rPr>
          <w:rFonts w:hint="eastAsia" w:ascii="仿宋_GB2312" w:hAnsi="宋体" w:eastAsia="仿宋_GB2312" w:cs="宋体"/>
          <w:sz w:val="32"/>
          <w:szCs w:val="32"/>
        </w:rPr>
        <w:t>进行预算编制。</w:t>
      </w:r>
    </w:p>
    <w:p w14:paraId="09161E91">
      <w:pPr>
        <w:keepNext w:val="0"/>
        <w:keepLines w:val="0"/>
        <w:pageBreakBefore w:val="0"/>
        <w:widowControl w:val="0"/>
        <w:kinsoku/>
        <w:wordWrap/>
        <w:overflowPunct/>
        <w:topLinePunct w:val="0"/>
        <w:autoSpaceDE/>
        <w:autoSpaceDN/>
        <w:bidi w:val="0"/>
        <w:spacing w:line="520" w:lineRule="exact"/>
        <w:ind w:firstLine="640" w:firstLineChars="200"/>
        <w:textAlignment w:val="auto"/>
        <w:rPr>
          <w:rFonts w:hint="eastAsia" w:ascii="仿宋_GB2312" w:hAnsi="宋体" w:eastAsia="仿宋_GB2312" w:cs="宋体"/>
          <w:sz w:val="32"/>
          <w:szCs w:val="32"/>
        </w:rPr>
      </w:pPr>
      <w:r>
        <w:rPr>
          <w:rFonts w:hint="eastAsia" w:ascii="仿宋_GB2312" w:hAnsi="宋体" w:eastAsia="仿宋_GB2312" w:cs="宋体"/>
          <w:sz w:val="32"/>
          <w:szCs w:val="32"/>
        </w:rPr>
        <w:t>（二）积极推动预算执行。一是深化预算控制层级，要真实准确的进行核算，按预算编制内容保证预算支出进度，提高财政资金利用率。二是要切实加强财务分析。要善于发现问题，管控风险。通过全面、系统、深入的财务分析，及时通报预算执行情况，及时发现预算管理中的问题，及时采取调整、纠偏方式进行完善。</w:t>
      </w:r>
    </w:p>
    <w:p w14:paraId="41776110">
      <w:pPr>
        <w:keepNext w:val="0"/>
        <w:keepLines w:val="0"/>
        <w:pageBreakBefore w:val="0"/>
        <w:widowControl w:val="0"/>
        <w:kinsoku/>
        <w:wordWrap/>
        <w:overflowPunct/>
        <w:topLinePunct w:val="0"/>
        <w:autoSpaceDE/>
        <w:autoSpaceDN/>
        <w:bidi w:val="0"/>
        <w:spacing w:line="520" w:lineRule="exact"/>
        <w:ind w:firstLine="640" w:firstLineChars="200"/>
        <w:textAlignment w:val="auto"/>
        <w:rPr>
          <w:rFonts w:hint="eastAsia" w:ascii="仿宋_GB2312" w:hAnsi="宋体" w:eastAsia="仿宋_GB2312" w:cs="宋体"/>
          <w:sz w:val="32"/>
          <w:szCs w:val="32"/>
        </w:rPr>
      </w:pPr>
      <w:r>
        <w:rPr>
          <w:rFonts w:hint="eastAsia" w:ascii="仿宋_GB2312" w:hAnsi="宋体" w:eastAsia="仿宋_GB2312" w:cs="宋体"/>
          <w:sz w:val="32"/>
          <w:szCs w:val="32"/>
        </w:rPr>
        <w:t>（三）建立全过程绩效管理。进一步细化量化资金使用绩效目标，树立现代绩效管理理念。设立科学合理的绩效目标和指标，增强目标约束力和执行力。</w:t>
      </w:r>
    </w:p>
    <w:p w14:paraId="06EEC8AE">
      <w:pPr>
        <w:keepNext w:val="0"/>
        <w:keepLines w:val="0"/>
        <w:pageBreakBefore w:val="0"/>
        <w:widowControl w:val="0"/>
        <w:kinsoku/>
        <w:wordWrap/>
        <w:overflowPunct/>
        <w:topLinePunct w:val="0"/>
        <w:autoSpaceDE/>
        <w:autoSpaceDN/>
        <w:bidi w:val="0"/>
        <w:spacing w:line="520" w:lineRule="exact"/>
        <w:ind w:firstLine="630" w:firstLineChars="196"/>
        <w:textAlignment w:val="auto"/>
        <w:rPr>
          <w:rFonts w:hint="eastAsia" w:ascii="宋体" w:hAnsi="宋体" w:cs="宋体"/>
          <w:b/>
          <w:bCs/>
          <w:sz w:val="32"/>
          <w:szCs w:val="32"/>
        </w:rPr>
      </w:pPr>
      <w:r>
        <w:rPr>
          <w:rFonts w:hint="eastAsia" w:ascii="宋体" w:hAnsi="宋体" w:cs="宋体"/>
          <w:b/>
          <w:bCs/>
          <w:sz w:val="32"/>
          <w:szCs w:val="32"/>
        </w:rPr>
        <w:t>六、评价工作组人员名单：</w:t>
      </w:r>
    </w:p>
    <w:p w14:paraId="58ACA796">
      <w:pPr>
        <w:keepNext w:val="0"/>
        <w:keepLines w:val="0"/>
        <w:pageBreakBefore w:val="0"/>
        <w:widowControl w:val="0"/>
        <w:numPr>
          <w:ilvl w:val="0"/>
          <w:numId w:val="0"/>
        </w:numPr>
        <w:kinsoku/>
        <w:wordWrap/>
        <w:overflowPunct/>
        <w:topLinePunct w:val="0"/>
        <w:autoSpaceDE/>
        <w:autoSpaceDN/>
        <w:bidi w:val="0"/>
        <w:adjustRightInd w:val="0"/>
        <w:snapToGrid w:val="0"/>
        <w:spacing w:line="520" w:lineRule="exact"/>
        <w:textAlignment w:val="auto"/>
        <w:rPr>
          <w:rFonts w:hint="eastAsia" w:ascii="仿宋" w:eastAsia="仿宋"/>
          <w:sz w:val="32"/>
          <w:szCs w:val="32"/>
          <w:lang w:val="en-US" w:eastAsia="zh-CN"/>
        </w:rPr>
      </w:pPr>
      <w:r>
        <w:rPr>
          <w:rFonts w:hint="default" w:ascii="仿宋" w:eastAsia="仿宋"/>
          <w:sz w:val="32"/>
          <w:szCs w:val="32"/>
          <w:lang w:val="en-US"/>
        </w:rPr>
        <w:t xml:space="preserve">      </w:t>
      </w:r>
      <w:r>
        <w:rPr>
          <w:rFonts w:hint="eastAsia" w:ascii="仿宋" w:eastAsia="仿宋"/>
          <w:sz w:val="32"/>
          <w:szCs w:val="32"/>
          <w:lang w:val="en-US" w:eastAsia="zh-CN"/>
        </w:rPr>
        <w:t>组  长：王  亮    主  任</w:t>
      </w:r>
    </w:p>
    <w:p w14:paraId="140D592F">
      <w:pPr>
        <w:keepNext w:val="0"/>
        <w:keepLines w:val="0"/>
        <w:pageBreakBefore w:val="0"/>
        <w:widowControl w:val="0"/>
        <w:numPr>
          <w:ilvl w:val="0"/>
          <w:numId w:val="0"/>
        </w:numPr>
        <w:kinsoku/>
        <w:wordWrap/>
        <w:overflowPunct/>
        <w:topLinePunct w:val="0"/>
        <w:autoSpaceDE/>
        <w:autoSpaceDN/>
        <w:bidi w:val="0"/>
        <w:adjustRightInd w:val="0"/>
        <w:snapToGrid w:val="0"/>
        <w:spacing w:line="520" w:lineRule="exact"/>
        <w:textAlignment w:val="auto"/>
        <w:rPr>
          <w:rFonts w:hint="eastAsia" w:ascii="仿宋" w:eastAsia="仿宋"/>
          <w:sz w:val="32"/>
          <w:szCs w:val="32"/>
          <w:lang w:val="en-US" w:eastAsia="zh-CN"/>
        </w:rPr>
      </w:pPr>
      <w:r>
        <w:rPr>
          <w:rFonts w:hint="eastAsia" w:ascii="仿宋" w:eastAsia="仿宋"/>
          <w:sz w:val="32"/>
          <w:szCs w:val="32"/>
          <w:lang w:val="en-US" w:eastAsia="zh-CN"/>
        </w:rPr>
        <w:t xml:space="preserve">      成  员：周晓峰    办公室成员</w:t>
      </w:r>
    </w:p>
    <w:p w14:paraId="7B02B36B">
      <w:pPr>
        <w:keepNext w:val="0"/>
        <w:keepLines w:val="0"/>
        <w:pageBreakBefore w:val="0"/>
        <w:widowControl w:val="0"/>
        <w:kinsoku/>
        <w:wordWrap/>
        <w:overflowPunct/>
        <w:topLinePunct w:val="0"/>
        <w:autoSpaceDE/>
        <w:autoSpaceDN/>
        <w:bidi w:val="0"/>
        <w:spacing w:line="520" w:lineRule="exact"/>
        <w:ind w:firstLine="630" w:firstLineChars="196"/>
        <w:textAlignment w:val="auto"/>
        <w:rPr>
          <w:rFonts w:hint="eastAsia" w:ascii="宋体" w:hAnsi="宋体" w:cs="宋体"/>
          <w:b/>
          <w:bCs/>
          <w:sz w:val="32"/>
          <w:szCs w:val="32"/>
        </w:rPr>
      </w:pPr>
    </w:p>
    <w:p w14:paraId="6C59397C">
      <w:pPr>
        <w:keepNext w:val="0"/>
        <w:keepLines w:val="0"/>
        <w:pageBreakBefore w:val="0"/>
        <w:widowControl w:val="0"/>
        <w:tabs>
          <w:tab w:val="left" w:pos="1080"/>
        </w:tabs>
        <w:kinsoku/>
        <w:wordWrap/>
        <w:overflowPunct/>
        <w:topLinePunct w:val="0"/>
        <w:autoSpaceDE/>
        <w:autoSpaceDN/>
        <w:bidi w:val="0"/>
        <w:spacing w:line="520" w:lineRule="exact"/>
        <w:textAlignment w:val="auto"/>
      </w:pPr>
    </w:p>
    <w:p w14:paraId="05A42AB5">
      <w:pPr>
        <w:keepNext w:val="0"/>
        <w:keepLines w:val="0"/>
        <w:pageBreakBefore w:val="0"/>
        <w:widowControl w:val="0"/>
        <w:kinsoku/>
        <w:wordWrap/>
        <w:overflowPunct/>
        <w:topLinePunct w:val="0"/>
        <w:autoSpaceDE/>
        <w:autoSpaceDN/>
        <w:bidi w:val="0"/>
        <w:adjustRightInd w:val="0"/>
        <w:snapToGrid w:val="0"/>
        <w:spacing w:line="520" w:lineRule="exact"/>
        <w:textAlignment w:val="auto"/>
        <w:rPr>
          <w:rFonts w:ascii="仿宋" w:hAnsi="仿宋" w:eastAsia="仿宋"/>
        </w:rPr>
      </w:pPr>
    </w:p>
    <w:p w14:paraId="42592F4D">
      <w:pPr>
        <w:keepNext w:val="0"/>
        <w:keepLines w:val="0"/>
        <w:pageBreakBefore w:val="0"/>
        <w:widowControl w:val="0"/>
        <w:numPr>
          <w:ilvl w:val="0"/>
          <w:numId w:val="0"/>
        </w:numPr>
        <w:kinsoku/>
        <w:wordWrap/>
        <w:overflowPunct/>
        <w:topLinePunct w:val="0"/>
        <w:autoSpaceDE/>
        <w:autoSpaceDN/>
        <w:bidi w:val="0"/>
        <w:adjustRightInd w:val="0"/>
        <w:snapToGrid w:val="0"/>
        <w:spacing w:line="520" w:lineRule="exact"/>
        <w:jc w:val="right"/>
        <w:textAlignment w:val="auto"/>
        <w:rPr>
          <w:rFonts w:hint="eastAsia" w:ascii="仿宋" w:eastAsia="仿宋"/>
          <w:sz w:val="32"/>
          <w:szCs w:val="32"/>
          <w:lang w:val="en-US" w:eastAsia="zh-CN"/>
        </w:rPr>
      </w:pPr>
      <w:r>
        <w:rPr>
          <w:rFonts w:hint="eastAsia" w:ascii="仿宋" w:eastAsia="仿宋"/>
          <w:sz w:val="32"/>
          <w:szCs w:val="32"/>
          <w:lang w:val="en-US" w:eastAsia="zh-CN"/>
        </w:rPr>
        <w:t>元氏县公共资源交易中心</w:t>
      </w:r>
    </w:p>
    <w:p w14:paraId="75070A24">
      <w:pPr>
        <w:keepNext w:val="0"/>
        <w:keepLines w:val="0"/>
        <w:pageBreakBefore w:val="0"/>
        <w:widowControl w:val="0"/>
        <w:kinsoku/>
        <w:wordWrap/>
        <w:overflowPunct/>
        <w:topLinePunct w:val="0"/>
        <w:autoSpaceDE/>
        <w:autoSpaceDN/>
        <w:bidi w:val="0"/>
        <w:spacing w:line="520" w:lineRule="exact"/>
        <w:jc w:val="right"/>
        <w:textAlignment w:val="auto"/>
        <w:rPr>
          <w:rFonts w:ascii="仿宋" w:hAnsi="仿宋" w:eastAsia="仿宋"/>
        </w:rPr>
      </w:pPr>
      <w:r>
        <w:rPr>
          <w:rFonts w:hint="eastAsia" w:ascii="仿宋" w:eastAsia="仿宋"/>
          <w:sz w:val="32"/>
          <w:szCs w:val="32"/>
          <w:lang w:val="en-US" w:eastAsia="zh-CN"/>
        </w:rPr>
        <w:t>2026年4月18日</w:t>
      </w: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华文楷体">
    <w:altName w:val="楷体_GB2312"/>
    <w:panose1 w:val="02010600040101010101"/>
    <w:charset w:val="86"/>
    <w:family w:val="auto"/>
    <w:pitch w:val="default"/>
    <w:sig w:usb0="00000000" w:usb1="00000000" w:usb2="00000000" w:usb3="00000000" w:csb0="0004009F" w:csb1="DFD70000"/>
  </w:font>
  <w:font w:name="楷体_GB2312">
    <w:panose1 w:val="02010609030101010101"/>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DengXian-Regular">
    <w:altName w:val="宋体"/>
    <w:panose1 w:val="00000000000000000000"/>
    <w:charset w:val="86"/>
    <w:family w:val="auto"/>
    <w:pitch w:val="default"/>
    <w:sig w:usb0="00000000" w:usb1="00000000" w:usb2="00000010"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060B6F">
    <w:pPr>
      <w:pStyle w:val="2"/>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14:paraId="53D3C912">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- 2 -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OWMyNTVhODM5NmZjYzM3ZDU0NDI1ZmI2MTZhZmNlYTgifQ=="/>
  </w:docVars>
  <w:rsids>
    <w:rsidRoot w:val="0EBD2122"/>
    <w:rsid w:val="000B0260"/>
    <w:rsid w:val="00146E0E"/>
    <w:rsid w:val="00330228"/>
    <w:rsid w:val="00384A26"/>
    <w:rsid w:val="003D62B9"/>
    <w:rsid w:val="00665343"/>
    <w:rsid w:val="007267F3"/>
    <w:rsid w:val="00773795"/>
    <w:rsid w:val="007E6C1F"/>
    <w:rsid w:val="00956A93"/>
    <w:rsid w:val="009E575C"/>
    <w:rsid w:val="009E6C7C"/>
    <w:rsid w:val="00AF167E"/>
    <w:rsid w:val="00AF566A"/>
    <w:rsid w:val="00B478EA"/>
    <w:rsid w:val="00B6553A"/>
    <w:rsid w:val="00BC6576"/>
    <w:rsid w:val="00C75712"/>
    <w:rsid w:val="00CE06BA"/>
    <w:rsid w:val="00CE3FAD"/>
    <w:rsid w:val="00D1126E"/>
    <w:rsid w:val="00EB47BA"/>
    <w:rsid w:val="00F441CC"/>
    <w:rsid w:val="01B104CA"/>
    <w:rsid w:val="02106AB0"/>
    <w:rsid w:val="02B43A28"/>
    <w:rsid w:val="02FC0103"/>
    <w:rsid w:val="046F331E"/>
    <w:rsid w:val="07956271"/>
    <w:rsid w:val="09721397"/>
    <w:rsid w:val="0BB63BED"/>
    <w:rsid w:val="0C2B69A3"/>
    <w:rsid w:val="0EB97A43"/>
    <w:rsid w:val="0EBD2122"/>
    <w:rsid w:val="0F214EAE"/>
    <w:rsid w:val="0F890F70"/>
    <w:rsid w:val="119836EC"/>
    <w:rsid w:val="11B71E6A"/>
    <w:rsid w:val="12CD1C2A"/>
    <w:rsid w:val="1323348A"/>
    <w:rsid w:val="1A1E49AB"/>
    <w:rsid w:val="1A8962C8"/>
    <w:rsid w:val="1AAF0063"/>
    <w:rsid w:val="1B0D0CA7"/>
    <w:rsid w:val="1BE140DE"/>
    <w:rsid w:val="248C197D"/>
    <w:rsid w:val="252959AF"/>
    <w:rsid w:val="277A6671"/>
    <w:rsid w:val="292D35B7"/>
    <w:rsid w:val="320D7387"/>
    <w:rsid w:val="33EB6CFF"/>
    <w:rsid w:val="35A12947"/>
    <w:rsid w:val="37387040"/>
    <w:rsid w:val="38193616"/>
    <w:rsid w:val="3B625C0A"/>
    <w:rsid w:val="3CEE1963"/>
    <w:rsid w:val="3E8E62B6"/>
    <w:rsid w:val="436B78D3"/>
    <w:rsid w:val="4C9C27FE"/>
    <w:rsid w:val="4ED4505D"/>
    <w:rsid w:val="512260B4"/>
    <w:rsid w:val="52BD6ACB"/>
    <w:rsid w:val="55537534"/>
    <w:rsid w:val="561A74F1"/>
    <w:rsid w:val="597244E8"/>
    <w:rsid w:val="5EB71C30"/>
    <w:rsid w:val="655D597E"/>
    <w:rsid w:val="66A650D9"/>
    <w:rsid w:val="66AF0CE5"/>
    <w:rsid w:val="69405D20"/>
    <w:rsid w:val="6AC537CF"/>
    <w:rsid w:val="6DFE5138"/>
    <w:rsid w:val="6E5B14A6"/>
    <w:rsid w:val="711B255E"/>
    <w:rsid w:val="71346763"/>
    <w:rsid w:val="713F584D"/>
    <w:rsid w:val="770A395B"/>
    <w:rsid w:val="7BB51E06"/>
    <w:rsid w:val="7C387F7C"/>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5">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2130</Words>
  <Characters>2192</Characters>
  <Lines>4</Lines>
  <Paragraphs>1</Paragraphs>
  <TotalTime>15</TotalTime>
  <ScaleCrop>false</ScaleCrop>
  <LinksUpToDate>false</LinksUpToDate>
  <CharactersWithSpaces>2226</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A江</cp:lastModifiedBy>
  <cp:lastPrinted>2024-03-06T07:40:00Z</cp:lastPrinted>
  <dcterms:modified xsi:type="dcterms:W3CDTF">2026-05-12T02:01:53Z</dcterms:modified>
  <dc:title>附件3：</dc:title>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96934721B1514D3FBAA28020338CE855_12</vt:lpwstr>
  </property>
  <property fmtid="{D5CDD505-2E9C-101B-9397-08002B2CF9AE}" pid="4" name="KSOTemplateDocerSaveRecord">
    <vt:lpwstr>eyJoZGlkIjoiYTU0YmU4Nzg2MDRiOGJlNzcxODQ3MzhlZjEyYTBiM2QiLCJ1c2VySWQiOiI1ODU2NDQ3NzMifQ==</vt:lpwstr>
  </property>
</Properties>
</file>