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B1DFF1">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44CDCA21">
      <w:pPr>
        <w:spacing w:line="560" w:lineRule="exact"/>
        <w:jc w:val="center"/>
        <w:rPr>
          <w:rFonts w:ascii="宋体" w:hAnsi="宋体" w:cs="宋体"/>
          <w:b/>
          <w:bCs/>
          <w:sz w:val="44"/>
          <w:szCs w:val="44"/>
        </w:rPr>
      </w:pPr>
    </w:p>
    <w:p w14:paraId="6A12087E">
      <w:pPr>
        <w:spacing w:line="560" w:lineRule="exact"/>
        <w:jc w:val="center"/>
        <w:rPr>
          <w:rFonts w:ascii="宋体" w:hAnsi="宋体" w:cs="宋体"/>
          <w:b/>
          <w:bCs/>
          <w:sz w:val="44"/>
          <w:szCs w:val="44"/>
        </w:rPr>
      </w:pPr>
      <w:r>
        <w:rPr>
          <w:rFonts w:hint="eastAsia" w:ascii="宋体" w:hAnsi="宋体" w:cs="宋体"/>
          <w:b/>
          <w:bCs/>
          <w:sz w:val="44"/>
          <w:szCs w:val="44"/>
          <w:lang w:val="en-US" w:eastAsia="zh-CN"/>
        </w:rPr>
        <w:t>元氏县机关事务服务中心</w:t>
      </w:r>
    </w:p>
    <w:p w14:paraId="0BCB1E4D">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4DD7DF0">
      <w:pPr>
        <w:spacing w:line="560" w:lineRule="exact"/>
        <w:jc w:val="center"/>
        <w:rPr>
          <w:rFonts w:ascii="华文楷体" w:eastAsia="华文楷体"/>
          <w:sz w:val="32"/>
          <w:szCs w:val="32"/>
        </w:rPr>
      </w:pPr>
    </w:p>
    <w:p w14:paraId="6703AAB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元氏县机关事务服务中心</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06AF3EED">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34CB36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978A0E4">
      <w:pPr>
        <w:pStyle w:val="2"/>
        <w:spacing w:before="0" w:after="0" w:line="580" w:lineRule="exact"/>
        <w:ind w:firstLine="960" w:firstLineChars="300"/>
        <w:jc w:val="left"/>
        <w:rPr>
          <w:rFonts w:ascii="黑体" w:eastAsia="黑体" w:cs="黑体"/>
          <w:b w:val="0"/>
          <w:bCs w:val="0"/>
          <w:kern w:val="0"/>
          <w:sz w:val="32"/>
          <w:szCs w:val="32"/>
        </w:rPr>
      </w:pPr>
      <w:r>
        <w:rPr>
          <w:rFonts w:hint="eastAsia" w:ascii="黑体" w:eastAsia="黑体" w:cs="黑体"/>
          <w:b w:val="0"/>
          <w:bCs w:val="0"/>
          <w:kern w:val="0"/>
          <w:sz w:val="32"/>
          <w:szCs w:val="32"/>
        </w:rPr>
        <w:t>部门职责</w:t>
      </w:r>
    </w:p>
    <w:p w14:paraId="4684C3B7">
      <w:pPr>
        <w:pStyle w:val="3"/>
        <w:widowControl/>
        <w:ind w:firstLine="540" w:firstLineChars="180"/>
        <w:jc w:val="left"/>
        <w:rPr>
          <w:rFonts w:ascii="仿宋_GB2312" w:hAnsi="宋体" w:eastAsia="仿宋_GB2312" w:cs="宋体"/>
          <w:sz w:val="30"/>
          <w:szCs w:val="30"/>
        </w:rPr>
      </w:pPr>
      <w:r>
        <w:rPr>
          <w:rFonts w:hint="eastAsia" w:ascii="仿宋_GB2312" w:hAnsi="宋体" w:eastAsia="仿宋_GB2312" w:cs="宋体"/>
          <w:sz w:val="30"/>
          <w:szCs w:val="30"/>
        </w:rPr>
        <w:t>（一）依据党和国家、县委和县政府有关政策、法令，结合机关具体情况，研制制定机关事务工作的具体方针、政策和规章制度并组织实施。</w:t>
      </w:r>
    </w:p>
    <w:p w14:paraId="3B82C948">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（二）推动机关后勤体</w:t>
      </w:r>
      <w:r>
        <w:rPr>
          <w:rFonts w:hint="eastAsia" w:ascii="仿宋_GB2312" w:hAnsi="宋体" w:eastAsia="仿宋_GB2312" w:cs="宋体"/>
          <w:sz w:val="30"/>
          <w:szCs w:val="30"/>
          <w:lang w:val="en-US" w:eastAsia="zh-CN"/>
        </w:rPr>
        <w:t>制</w:t>
      </w:r>
      <w:r>
        <w:rPr>
          <w:rFonts w:hint="eastAsia" w:ascii="仿宋_GB2312" w:hAnsi="宋体" w:eastAsia="仿宋_GB2312" w:cs="宋体"/>
          <w:sz w:val="30"/>
          <w:szCs w:val="30"/>
        </w:rPr>
        <w:t>建设，制定后勤体质建设总体规划和实施方案；会同有关部门研究制定后勤建设的具体政策和办法。</w:t>
      </w:r>
    </w:p>
    <w:p w14:paraId="775DE391">
      <w:pPr>
        <w:pStyle w:val="3"/>
        <w:widowControl/>
        <w:ind w:left="-60" w:firstLine="600" w:firstLineChars="200"/>
        <w:rPr>
          <w:rFonts w:ascii="仿宋_GB2312" w:hAnsi="宋体" w:eastAsia="仿宋_GB2312" w:cs="宋体"/>
          <w:sz w:val="30"/>
          <w:szCs w:val="30"/>
        </w:rPr>
      </w:pPr>
      <w:r>
        <w:rPr>
          <w:rFonts w:hint="eastAsia" w:ascii="仿宋_GB2312" w:hAnsi="宋体" w:eastAsia="仿宋_GB2312" w:cs="宋体"/>
          <w:sz w:val="30"/>
          <w:szCs w:val="30"/>
        </w:rPr>
        <w:t>（三）负责机关大院二级财务部门行政经费的管理；负责向财政局汇报经费执行情况；负责规定资产账目管理。</w:t>
      </w:r>
    </w:p>
    <w:p w14:paraId="2C1990AC">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（四）负责协调机关大院各部门的后勤服务工作；负责管理局干部、职工岗位培训和业务指导。</w:t>
      </w:r>
    </w:p>
    <w:p w14:paraId="15A1F75E">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（五）负责机关大院的规划、报刊收发、文印、办公用品和文化用品的集中采购、调配、发放工作。</w:t>
      </w:r>
    </w:p>
    <w:p w14:paraId="2B89AB01">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（六）负责机关大院的保卫工作，制定机关的安全防范措施。购买安装安保器材以及日常管理工作。</w:t>
      </w:r>
    </w:p>
    <w:p w14:paraId="7138DAE2">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七）负责机关大院的房地产产权，产籍管理工作，统一协调机关大院办公用房，研究制定房地产管理制度和办法。负责县委、县政府办公用房规划、征地、设计、施工、分配、调整，解决有关房地产纠纷；负责统管房屋的维修。</w:t>
      </w:r>
    </w:p>
    <w:p w14:paraId="3051378C">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（八）负责对司机的教育培训及对车辆车牌照的管理。</w:t>
      </w:r>
    </w:p>
    <w:p w14:paraId="603509C4">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（九）负责本局干部职工和退休人员、人事、劳资管理工作。</w:t>
      </w:r>
    </w:p>
    <w:p w14:paraId="3ACFBC2A">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（十）负责综合楼网络信息、电讯设施、有线电视、会议室（含视频会议）等设备安装、维修、线路租赁及会务的接待与服务工作。</w:t>
      </w:r>
    </w:p>
    <w:p w14:paraId="149F90DC">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（十一）负责综合楼、西院（原博文学校）的水、电、暖设备的维修、保洁等日常工作及西院租赁费。</w:t>
      </w:r>
    </w:p>
    <w:p w14:paraId="2298EC3A">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（十二）负责县行政服务中心和档案馆建设；恒山公园建设和管理等日常工作；全县公共机构节能工作与日常统计；全县公车改革工作。</w:t>
      </w:r>
    </w:p>
    <w:p w14:paraId="68FFA154">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（十三）负责综合楼中央空调、电梯维修、保养及年检等工作。</w:t>
      </w:r>
    </w:p>
    <w:p w14:paraId="10C38E2E">
      <w:pPr>
        <w:pStyle w:val="3"/>
        <w:widowControl/>
        <w:ind w:firstLine="540" w:firstLineChars="180"/>
        <w:rPr>
          <w:rFonts w:ascii="仿宋_GB2312" w:hAnsi="宋体" w:eastAsia="仿宋_GB2312" w:cs="宋体"/>
          <w:sz w:val="30"/>
          <w:szCs w:val="30"/>
        </w:rPr>
      </w:pPr>
      <w:r>
        <w:rPr>
          <w:rFonts w:hint="eastAsia" w:ascii="仿宋_GB2312" w:hAnsi="宋体" w:eastAsia="仿宋_GB2312" w:cs="宋体"/>
          <w:sz w:val="30"/>
          <w:szCs w:val="30"/>
        </w:rPr>
        <w:t>（十四）负责机关大院绿化建设与日常环卫工作。</w:t>
      </w:r>
    </w:p>
    <w:p w14:paraId="1FFD843A">
      <w:pPr>
        <w:pStyle w:val="3"/>
        <w:widowControl/>
        <w:ind w:firstLine="540" w:firstLineChars="180"/>
        <w:rPr>
          <w:rFonts w:hint="eastAsia" w:ascii="仿宋_GB2312" w:eastAsia="仿宋_GB2312"/>
          <w:sz w:val="30"/>
          <w:szCs w:val="30"/>
        </w:rPr>
      </w:pPr>
      <w:r>
        <w:rPr>
          <w:rFonts w:hint="eastAsia" w:ascii="仿宋_GB2312" w:eastAsia="仿宋_GB2312"/>
          <w:sz w:val="30"/>
          <w:szCs w:val="30"/>
        </w:rPr>
        <w:t>（十五）负责机关大院系统行政事务的协调工作，完成领导交办的其他事项。</w:t>
      </w:r>
    </w:p>
    <w:p w14:paraId="76DBA734">
      <w:pPr>
        <w:keepNext/>
        <w:keepLines/>
        <w:spacing w:line="580" w:lineRule="exact"/>
        <w:ind w:firstLine="640" w:firstLineChars="200"/>
        <w:jc w:val="left"/>
        <w:outlineLvl w:val="0"/>
        <w:rPr>
          <w:rFonts w:hint="eastAsia" w:ascii="黑体" w:hAnsi="Calibri" w:eastAsia="黑体" w:cs="黑体"/>
          <w:kern w:val="0"/>
          <w:sz w:val="32"/>
          <w:szCs w:val="32"/>
        </w:rPr>
      </w:pPr>
      <w:r>
        <w:rPr>
          <w:rFonts w:hint="eastAsia" w:ascii="黑体" w:hAnsi="Calibri" w:eastAsia="黑体" w:cs="黑体"/>
          <w:kern w:val="0"/>
          <w:sz w:val="32"/>
          <w:szCs w:val="32"/>
        </w:rPr>
        <w:t>机构设置</w:t>
      </w:r>
    </w:p>
    <w:p w14:paraId="58C3D3C4">
      <w:pPr>
        <w:spacing w:before="0" w:after="0" w:line="240" w:lineRule="auto"/>
        <w:ind w:firstLine="0"/>
        <w:jc w:val="center"/>
        <w:outlineLvl w:val="9"/>
        <w:rPr>
          <w:rFonts w:hint="eastAsia" w:ascii="黑体" w:hAnsi="Calibri" w:eastAsia="黑体" w:cs="黑体"/>
          <w:kern w:val="0"/>
          <w:sz w:val="32"/>
          <w:szCs w:val="32"/>
        </w:rPr>
      </w:pPr>
      <w:r>
        <w:rPr>
          <w:rFonts w:hint="eastAsia" w:ascii="仿宋" w:hAnsi="仿宋" w:eastAsia="仿宋" w:cs="Times New Roman"/>
          <w:kern w:val="2"/>
          <w:sz w:val="32"/>
          <w:szCs w:val="32"/>
          <w:lang w:val="en-US" w:eastAsia="zh-CN" w:bidi="ar-SA"/>
        </w:rPr>
        <w:t>部门机构设置情况</w:t>
      </w:r>
    </w:p>
    <w:tbl>
      <w:tblPr>
        <w:tblStyle w:val="8"/>
        <w:tblpPr w:leftFromText="180" w:rightFromText="180" w:vertAnchor="text" w:horzAnchor="page" w:tblpXSpec="center" w:tblpY="10"/>
        <w:tblOverlap w:val="never"/>
        <w:tblW w:w="95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3"/>
        <w:gridCol w:w="3405"/>
        <w:gridCol w:w="2433"/>
        <w:gridCol w:w="2892"/>
      </w:tblGrid>
      <w:tr w14:paraId="1CDFE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863" w:type="dxa"/>
            <w:noWrap w:val="0"/>
            <w:vAlign w:val="center"/>
          </w:tcPr>
          <w:p w14:paraId="37CCE786">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05" w:type="dxa"/>
            <w:noWrap w:val="0"/>
            <w:vAlign w:val="center"/>
          </w:tcPr>
          <w:p w14:paraId="03B3B041">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33" w:type="dxa"/>
            <w:noWrap w:val="0"/>
            <w:vAlign w:val="center"/>
          </w:tcPr>
          <w:p w14:paraId="56514DA3">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892" w:type="dxa"/>
            <w:noWrap w:val="0"/>
            <w:vAlign w:val="center"/>
          </w:tcPr>
          <w:p w14:paraId="0B6935C7">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53B99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863" w:type="dxa"/>
            <w:noWrap w:val="0"/>
            <w:vAlign w:val="top"/>
          </w:tcPr>
          <w:p w14:paraId="7D9A928F">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05" w:type="dxa"/>
            <w:noWrap w:val="0"/>
            <w:vAlign w:val="top"/>
          </w:tcPr>
          <w:p w14:paraId="31D3BBEB">
            <w:pPr>
              <w:spacing w:line="560" w:lineRule="exact"/>
              <w:rPr>
                <w:rFonts w:ascii="仿宋_GB2312" w:hAnsi="Calibri" w:eastAsia="仿宋_GB2312" w:cs="Arial Black"/>
                <w:kern w:val="0"/>
                <w:sz w:val="21"/>
                <w:szCs w:val="21"/>
              </w:rPr>
            </w:pPr>
            <w:r>
              <w:rPr>
                <w:rFonts w:hint="eastAsia" w:ascii="仿宋_GB2312" w:hAnsi="Calibri" w:eastAsia="仿宋_GB2312" w:cs="Arial Black"/>
                <w:kern w:val="0"/>
                <w:sz w:val="28"/>
                <w:szCs w:val="28"/>
              </w:rPr>
              <w:t>元氏县机关事务服务中心</w:t>
            </w:r>
          </w:p>
        </w:tc>
        <w:tc>
          <w:tcPr>
            <w:tcW w:w="2433" w:type="dxa"/>
            <w:noWrap w:val="0"/>
            <w:vAlign w:val="top"/>
          </w:tcPr>
          <w:p w14:paraId="203F7DFE">
            <w:pPr>
              <w:spacing w:line="560" w:lineRule="exact"/>
              <w:jc w:val="center"/>
              <w:rPr>
                <w:rFonts w:ascii="仿宋_GB2312" w:hAnsi="Calibri" w:eastAsia="仿宋_GB2312" w:cs="Arial Black"/>
                <w:kern w:val="0"/>
                <w:sz w:val="28"/>
                <w:szCs w:val="28"/>
              </w:rPr>
            </w:pPr>
            <w:r>
              <w:rPr>
                <w:rFonts w:hint="eastAsia" w:ascii="仿宋_GB2312" w:hAnsi="Times New Roman" w:eastAsia="仿宋_GB2312" w:cs="宋体"/>
                <w:kern w:val="0"/>
                <w:sz w:val="28"/>
                <w:szCs w:val="28"/>
              </w:rPr>
              <w:t>事业单位</w:t>
            </w:r>
          </w:p>
        </w:tc>
        <w:tc>
          <w:tcPr>
            <w:tcW w:w="2892" w:type="dxa"/>
            <w:noWrap w:val="0"/>
            <w:vAlign w:val="top"/>
          </w:tcPr>
          <w:p w14:paraId="3B409F80">
            <w:pPr>
              <w:spacing w:line="560" w:lineRule="exact"/>
              <w:jc w:val="center"/>
              <w:rPr>
                <w:rFonts w:ascii="仿宋_GB2312" w:hAnsi="Calibri" w:eastAsia="仿宋_GB2312" w:cs="Arial Black"/>
                <w:kern w:val="0"/>
                <w:sz w:val="28"/>
                <w:szCs w:val="28"/>
              </w:rPr>
            </w:pPr>
            <w:r>
              <w:rPr>
                <w:rFonts w:hint="eastAsia" w:ascii="仿宋_GB2312" w:hAnsi="Times New Roman" w:eastAsia="仿宋_GB2312" w:cs="宋体"/>
                <w:kern w:val="0"/>
                <w:sz w:val="28"/>
                <w:szCs w:val="28"/>
              </w:rPr>
              <w:t>财政性资金基本保证</w:t>
            </w:r>
          </w:p>
        </w:tc>
      </w:tr>
    </w:tbl>
    <w:p w14:paraId="7E7CC563">
      <w:pPr>
        <w:keepNext w:val="0"/>
        <w:keepLines w:val="0"/>
        <w:pageBreakBefore w:val="0"/>
        <w:widowControl w:val="0"/>
        <w:kinsoku/>
        <w:wordWrap/>
        <w:overflowPunct/>
        <w:topLinePunct w:val="0"/>
        <w:autoSpaceDE/>
        <w:autoSpaceDN/>
        <w:bidi w:val="0"/>
        <w:spacing w:before="0" w:after="0" w:line="240" w:lineRule="auto"/>
        <w:ind w:firstLine="640"/>
        <w:jc w:val="left"/>
        <w:textAlignment w:val="auto"/>
        <w:outlineLvl w:val="9"/>
        <w:rPr>
          <w:rFonts w:hint="eastAsia"/>
          <w:b/>
          <w:color w:val="000000"/>
          <w:sz w:val="32"/>
          <w:lang w:eastAsia="zh-CN"/>
        </w:rPr>
      </w:pPr>
      <w:r>
        <w:rPr>
          <w:rFonts w:hint="eastAsia"/>
          <w:b/>
          <w:color w:val="000000"/>
          <w:sz w:val="32"/>
          <w:lang w:eastAsia="zh-CN"/>
        </w:rPr>
        <w:t>人员情况：</w:t>
      </w:r>
    </w:p>
    <w:p w14:paraId="11B8E4A1">
      <w:pPr>
        <w:adjustRightInd w:val="0"/>
        <w:snapToGrid w:val="0"/>
        <w:spacing w:line="560" w:lineRule="exact"/>
        <w:rPr>
          <w:rStyle w:val="10"/>
          <w:rFonts w:hint="eastAsia" w:eastAsia="仿宋_GB2312" w:cs="Times New Roman"/>
          <w:color w:val="auto"/>
          <w:kern w:val="0"/>
          <w:highlight w:val="none"/>
          <w:lang w:val="en-US" w:eastAsia="zh-CN"/>
        </w:rPr>
      </w:pPr>
      <w:r>
        <w:rPr>
          <w:rFonts w:hint="eastAsia" w:ascii="仿宋" w:hAnsi="仿宋" w:eastAsia="仿宋" w:cs="仿宋"/>
          <w:kern w:val="0"/>
          <w:sz w:val="32"/>
          <w:szCs w:val="32"/>
          <w:highlight w:val="none"/>
          <w:lang w:bidi="ar"/>
        </w:rPr>
        <w:t>202</w:t>
      </w:r>
      <w:r>
        <w:rPr>
          <w:rFonts w:hint="eastAsia" w:ascii="仿宋" w:hAnsi="仿宋" w:eastAsia="仿宋" w:cs="仿宋"/>
          <w:kern w:val="0"/>
          <w:sz w:val="32"/>
          <w:szCs w:val="32"/>
          <w:highlight w:val="none"/>
          <w:lang w:val="en-US" w:eastAsia="zh-CN" w:bidi="ar"/>
        </w:rPr>
        <w:t>5</w:t>
      </w:r>
      <w:r>
        <w:rPr>
          <w:rFonts w:hint="eastAsia" w:ascii="仿宋" w:hAnsi="仿宋" w:eastAsia="仿宋" w:cs="仿宋"/>
          <w:kern w:val="0"/>
          <w:sz w:val="32"/>
          <w:szCs w:val="32"/>
          <w:highlight w:val="none"/>
          <w:lang w:bidi="ar"/>
        </w:rPr>
        <w:t>年</w:t>
      </w:r>
      <w:r>
        <w:rPr>
          <w:rFonts w:hint="eastAsia" w:ascii="仿宋" w:hAnsi="仿宋" w:eastAsia="仿宋" w:cs="仿宋"/>
          <w:kern w:val="0"/>
          <w:sz w:val="32"/>
          <w:szCs w:val="32"/>
          <w:highlight w:val="none"/>
          <w:lang w:eastAsia="zh-CN" w:bidi="ar"/>
        </w:rPr>
        <w:t>底</w:t>
      </w:r>
      <w:r>
        <w:rPr>
          <w:rStyle w:val="10"/>
          <w:rFonts w:hint="default"/>
          <w:color w:val="auto"/>
          <w:kern w:val="0"/>
          <w:highlight w:val="none"/>
        </w:rPr>
        <w:t>，我单位实有</w:t>
      </w:r>
      <w:r>
        <w:rPr>
          <w:rStyle w:val="10"/>
          <w:rFonts w:hint="eastAsia" w:eastAsia="仿宋_GB2312"/>
          <w:color w:val="auto"/>
          <w:kern w:val="0"/>
          <w:highlight w:val="none"/>
          <w:lang w:eastAsia="zh-CN"/>
        </w:rPr>
        <w:t>在职</w:t>
      </w:r>
      <w:r>
        <w:rPr>
          <w:rStyle w:val="10"/>
          <w:rFonts w:hint="default"/>
          <w:color w:val="auto"/>
          <w:kern w:val="0"/>
          <w:highlight w:val="none"/>
        </w:rPr>
        <w:t>人员</w:t>
      </w:r>
      <w:r>
        <w:rPr>
          <w:rStyle w:val="10"/>
          <w:rFonts w:hint="eastAsia" w:eastAsia="仿宋_GB2312"/>
          <w:color w:val="auto"/>
          <w:kern w:val="0"/>
          <w:highlight w:val="none"/>
          <w:lang w:val="en-US" w:eastAsia="zh-CN"/>
        </w:rPr>
        <w:t>27</w:t>
      </w:r>
      <w:r>
        <w:rPr>
          <w:rStyle w:val="10"/>
          <w:rFonts w:hint="eastAsia" w:eastAsia="仿宋_GB2312"/>
          <w:color w:val="auto"/>
          <w:kern w:val="0"/>
          <w:highlight w:val="none"/>
          <w:lang w:eastAsia="zh-CN"/>
        </w:rPr>
        <w:t>人</w:t>
      </w:r>
      <w:r>
        <w:rPr>
          <w:rStyle w:val="10"/>
          <w:rFonts w:hint="default"/>
          <w:color w:val="auto"/>
          <w:kern w:val="0"/>
          <w:highlight w:val="none"/>
        </w:rPr>
        <w:t>，</w:t>
      </w:r>
      <w:r>
        <w:rPr>
          <w:rStyle w:val="10"/>
          <w:rFonts w:hint="default" w:hAnsi="Times New Roman" w:eastAsia="仿宋_GB2312" w:cs="Times New Roman"/>
          <w:color w:val="auto"/>
          <w:kern w:val="0"/>
          <w:highlight w:val="none"/>
          <w:lang w:val="en-US" w:eastAsia="zh-CN"/>
        </w:rPr>
        <w:t>退休人员</w:t>
      </w:r>
      <w:r>
        <w:rPr>
          <w:rStyle w:val="10"/>
          <w:rFonts w:hint="eastAsia" w:hAnsi="Times New Roman" w:eastAsia="仿宋_GB2312" w:cs="Times New Roman"/>
          <w:color w:val="auto"/>
          <w:kern w:val="0"/>
          <w:highlight w:val="none"/>
          <w:lang w:val="en-US" w:eastAsia="zh-CN"/>
        </w:rPr>
        <w:t>17</w:t>
      </w:r>
      <w:r>
        <w:rPr>
          <w:rStyle w:val="10"/>
          <w:rFonts w:hint="eastAsia" w:eastAsia="仿宋_GB2312" w:cs="Times New Roman"/>
          <w:color w:val="auto"/>
          <w:kern w:val="0"/>
          <w:highlight w:val="none"/>
          <w:lang w:val="en-US" w:eastAsia="zh-CN"/>
        </w:rPr>
        <w:t>人。</w:t>
      </w:r>
    </w:p>
    <w:p w14:paraId="743D24AE">
      <w:pPr>
        <w:keepNext w:val="0"/>
        <w:keepLines w:val="0"/>
        <w:pageBreakBefore w:val="0"/>
        <w:widowControl w:val="0"/>
        <w:kinsoku/>
        <w:wordWrap/>
        <w:overflowPunct/>
        <w:topLinePunct w:val="0"/>
        <w:autoSpaceDE/>
        <w:autoSpaceDN/>
        <w:bidi w:val="0"/>
        <w:spacing w:line="560" w:lineRule="exact"/>
        <w:ind w:firstLine="643" w:firstLineChars="200"/>
        <w:textAlignment w:val="auto"/>
        <w:rPr>
          <w:rFonts w:hint="eastAsia"/>
          <w:b/>
          <w:color w:val="000000"/>
          <w:sz w:val="32"/>
          <w:lang w:eastAsia="zh-CN"/>
        </w:rPr>
      </w:pPr>
      <w:r>
        <w:rPr>
          <w:rFonts w:hint="eastAsia"/>
          <w:b/>
          <w:color w:val="000000"/>
          <w:sz w:val="32"/>
          <w:lang w:eastAsia="zh-CN"/>
        </w:rPr>
        <w:t>固定资产：</w:t>
      </w:r>
    </w:p>
    <w:p w14:paraId="4968BB18">
      <w:pPr>
        <w:adjustRightInd w:val="0"/>
        <w:snapToGrid w:val="0"/>
        <w:spacing w:line="560" w:lineRule="exact"/>
        <w:rPr>
          <w:rFonts w:hint="eastAsia" w:ascii="仿宋" w:hAnsi="仿宋" w:eastAsia="仿宋" w:cs="仿宋"/>
          <w:kern w:val="0"/>
          <w:sz w:val="32"/>
          <w:szCs w:val="32"/>
          <w:highlight w:val="none"/>
          <w:lang w:bidi="ar"/>
        </w:rPr>
      </w:pPr>
      <w:r>
        <w:rPr>
          <w:rFonts w:hint="eastAsia" w:ascii="仿宋" w:hAnsi="仿宋" w:eastAsia="仿宋" w:cs="仿宋"/>
          <w:kern w:val="0"/>
          <w:sz w:val="32"/>
          <w:szCs w:val="32"/>
          <w:highlight w:val="none"/>
          <w:lang w:val="en-US" w:eastAsia="zh-CN" w:bidi="ar"/>
        </w:rPr>
        <w:t>元氏县机关事务服务中心2025</w:t>
      </w:r>
      <w:r>
        <w:rPr>
          <w:rFonts w:hint="eastAsia" w:ascii="仿宋" w:hAnsi="仿宋" w:eastAsia="仿宋" w:cs="仿宋"/>
          <w:kern w:val="0"/>
          <w:sz w:val="32"/>
          <w:szCs w:val="32"/>
          <w:highlight w:val="none"/>
          <w:lang w:bidi="ar"/>
        </w:rPr>
        <w:t>年末固定资产</w:t>
      </w:r>
      <w:r>
        <w:rPr>
          <w:rFonts w:hint="eastAsia" w:ascii="仿宋" w:hAnsi="仿宋" w:eastAsia="仿宋" w:cs="仿宋"/>
          <w:kern w:val="0"/>
          <w:sz w:val="32"/>
          <w:szCs w:val="32"/>
          <w:highlight w:val="none"/>
          <w:lang w:val="en-US" w:eastAsia="zh-CN" w:bidi="ar"/>
        </w:rPr>
        <w:t>金额</w:t>
      </w:r>
      <w:r>
        <w:rPr>
          <w:rFonts w:hint="eastAsia" w:ascii="仿宋" w:hAnsi="仿宋" w:eastAsia="仿宋" w:cs="仿宋"/>
          <w:kern w:val="0"/>
          <w:sz w:val="32"/>
          <w:szCs w:val="32"/>
          <w:highlight w:val="none"/>
          <w:lang w:bidi="ar"/>
        </w:rPr>
        <w:t>为11228.31万元</w:t>
      </w:r>
      <w:r>
        <w:rPr>
          <w:rFonts w:hint="eastAsia" w:ascii="仿宋" w:hAnsi="仿宋" w:eastAsia="仿宋" w:cs="仿宋"/>
          <w:kern w:val="0"/>
          <w:sz w:val="32"/>
          <w:szCs w:val="32"/>
          <w:highlight w:val="none"/>
          <w:lang w:eastAsia="zh-CN" w:bidi="ar"/>
        </w:rPr>
        <w:t>。</w:t>
      </w:r>
    </w:p>
    <w:p w14:paraId="72DB12C3">
      <w:pPr>
        <w:numPr>
          <w:ilvl w:val="0"/>
          <w:numId w:val="1"/>
        </w:numPr>
        <w:adjustRightInd w:val="0"/>
        <w:snapToGrid w:val="0"/>
        <w:spacing w:line="560" w:lineRule="exact"/>
        <w:ind w:firstLine="640" w:firstLineChars="200"/>
        <w:rPr>
          <w:rFonts w:hint="eastAsia" w:ascii="楷体" w:hAnsi="楷体" w:eastAsia="楷体" w:cs="楷体_GB2312"/>
          <w:bCs/>
          <w:sz w:val="32"/>
          <w:szCs w:val="32"/>
          <w:highlight w:val="none"/>
        </w:rPr>
      </w:pPr>
      <w:r>
        <w:rPr>
          <w:rFonts w:hint="eastAsia" w:ascii="楷体" w:hAnsi="楷体" w:eastAsia="楷体" w:cs="楷体_GB2312"/>
          <w:bCs/>
          <w:sz w:val="32"/>
          <w:szCs w:val="32"/>
          <w:highlight w:val="none"/>
        </w:rPr>
        <w:t>部门收支预决算情况</w:t>
      </w:r>
    </w:p>
    <w:p w14:paraId="309F18BE">
      <w:pPr>
        <w:adjustRightInd w:val="0"/>
        <w:snapToGrid w:val="0"/>
        <w:spacing w:line="580" w:lineRule="exact"/>
        <w:ind w:firstLine="640" w:firstLineChars="200"/>
        <w:rPr>
          <w:rFonts w:hint="eastAsia" w:ascii="楷体" w:hAnsi="楷体" w:eastAsia="仿宋_GB2312" w:cs="楷体_GB2312"/>
          <w:bCs/>
          <w:sz w:val="32"/>
          <w:szCs w:val="32"/>
          <w:highlight w:val="yellow"/>
          <w:lang w:eastAsia="zh-CN"/>
        </w:rPr>
      </w:pPr>
      <w:r>
        <w:rPr>
          <w:rFonts w:hint="eastAsia" w:ascii="仿宋_GB2312" w:hAnsi="Times New Roman" w:eastAsia="仿宋_GB2312" w:cs="DengXian-Regular"/>
          <w:sz w:val="32"/>
          <w:szCs w:val="32"/>
          <w:highlight w:val="none"/>
        </w:rPr>
        <w:t>20</w:t>
      </w:r>
      <w:r>
        <w:rPr>
          <w:rFonts w:hint="eastAsia" w:ascii="仿宋_GB2312" w:hAnsi="Times New Roman" w:eastAsia="仿宋_GB2312" w:cs="DengXian-Regular"/>
          <w:sz w:val="32"/>
          <w:szCs w:val="32"/>
          <w:highlight w:val="none"/>
          <w:lang w:val="en-US" w:eastAsia="zh-CN"/>
        </w:rPr>
        <w:t>2</w:t>
      </w:r>
      <w:r>
        <w:rPr>
          <w:rFonts w:hint="eastAsia" w:ascii="仿宋_GB2312" w:eastAsia="仿宋_GB2312" w:cs="DengXian-Regular"/>
          <w:sz w:val="32"/>
          <w:szCs w:val="32"/>
          <w:highlight w:val="none"/>
          <w:lang w:val="en-US" w:eastAsia="zh-CN"/>
        </w:rPr>
        <w:t>5</w:t>
      </w:r>
      <w:r>
        <w:rPr>
          <w:rFonts w:hint="eastAsia" w:ascii="仿宋_GB2312" w:hAnsi="Times New Roman" w:eastAsia="仿宋_GB2312" w:cs="DengXian-Regular"/>
          <w:sz w:val="32"/>
          <w:szCs w:val="32"/>
          <w:highlight w:val="none"/>
        </w:rPr>
        <w:t>年度收支总计（含结转和结余）</w:t>
      </w:r>
      <w:r>
        <w:rPr>
          <w:rFonts w:hint="eastAsia" w:ascii="仿宋_GB2312" w:hAnsi="仿宋" w:eastAsia="仿宋_GB2312"/>
          <w:sz w:val="32"/>
          <w:szCs w:val="32"/>
          <w:lang w:val="en-US" w:eastAsia="zh-CN"/>
        </w:rPr>
        <w:t>1261.24</w:t>
      </w:r>
      <w:r>
        <w:rPr>
          <w:rFonts w:hint="eastAsia" w:ascii="仿宋_GB2312" w:hAnsi="Times New Roman" w:eastAsia="仿宋_GB2312" w:cs="DengXian-Regular"/>
          <w:sz w:val="32"/>
          <w:szCs w:val="32"/>
          <w:highlight w:val="none"/>
        </w:rPr>
        <w:t>万元。与20</w:t>
      </w:r>
      <w:r>
        <w:rPr>
          <w:rFonts w:hint="eastAsia" w:ascii="仿宋_GB2312" w:hAnsi="Times New Roman" w:eastAsia="仿宋_GB2312" w:cs="DengXian-Regular"/>
          <w:sz w:val="32"/>
          <w:szCs w:val="32"/>
          <w:highlight w:val="none"/>
          <w:lang w:val="en-US" w:eastAsia="zh-CN"/>
        </w:rPr>
        <w:t>2</w:t>
      </w:r>
      <w:r>
        <w:rPr>
          <w:rFonts w:hint="eastAsia" w:ascii="仿宋_GB2312" w:eastAsia="仿宋_GB2312" w:cs="DengXian-Regular"/>
          <w:sz w:val="32"/>
          <w:szCs w:val="32"/>
          <w:highlight w:val="none"/>
          <w:lang w:val="en-US" w:eastAsia="zh-CN"/>
        </w:rPr>
        <w:t>4</w:t>
      </w:r>
      <w:r>
        <w:rPr>
          <w:rFonts w:hint="eastAsia" w:ascii="仿宋_GB2312" w:hAnsi="Times New Roman" w:eastAsia="仿宋_GB2312" w:cs="DengXian-Regular"/>
          <w:sz w:val="32"/>
          <w:szCs w:val="32"/>
          <w:highlight w:val="none"/>
        </w:rPr>
        <w:t>年度决算</w:t>
      </w:r>
      <w:r>
        <w:rPr>
          <w:rFonts w:hint="eastAsia" w:ascii="仿宋_GB2312" w:hAnsi="仿宋" w:eastAsia="仿宋_GB2312"/>
          <w:sz w:val="32"/>
          <w:szCs w:val="32"/>
          <w:highlight w:val="none"/>
          <w:lang w:val="en-US" w:eastAsia="zh-CN"/>
        </w:rPr>
        <w:t>1541.82</w:t>
      </w:r>
      <w:r>
        <w:rPr>
          <w:rFonts w:hint="eastAsia" w:ascii="仿宋_GB2312" w:eastAsia="仿宋_GB2312" w:cs="DengXian-Regular"/>
          <w:sz w:val="32"/>
          <w:szCs w:val="32"/>
          <w:highlight w:val="none"/>
          <w:lang w:val="en-US" w:eastAsia="zh-CN"/>
        </w:rPr>
        <w:t>万元</w:t>
      </w:r>
      <w:r>
        <w:rPr>
          <w:rFonts w:hint="eastAsia" w:ascii="仿宋_GB2312" w:hAnsi="Times New Roman" w:eastAsia="仿宋_GB2312" w:cs="DengXian-Regular"/>
          <w:sz w:val="32"/>
          <w:szCs w:val="32"/>
          <w:highlight w:val="none"/>
        </w:rPr>
        <w:t>相比，收支</w:t>
      </w:r>
      <w:r>
        <w:rPr>
          <w:rFonts w:hint="eastAsia" w:ascii="仿宋_GB2312" w:hAnsi="Times New Roman" w:eastAsia="仿宋_GB2312" w:cs="DengXian-Regular"/>
          <w:sz w:val="32"/>
          <w:szCs w:val="32"/>
          <w:highlight w:val="none"/>
          <w:lang w:eastAsia="zh-CN"/>
        </w:rPr>
        <w:t>各</w:t>
      </w:r>
      <w:r>
        <w:rPr>
          <w:rFonts w:hint="eastAsia" w:ascii="仿宋_GB2312" w:eastAsia="仿宋_GB2312" w:cs="DengXian-Regular"/>
          <w:sz w:val="32"/>
          <w:szCs w:val="32"/>
          <w:highlight w:val="none"/>
          <w:lang w:val="en-US" w:eastAsia="zh-CN"/>
        </w:rPr>
        <w:t>减少</w:t>
      </w:r>
      <w:r>
        <w:rPr>
          <w:rFonts w:hint="eastAsia" w:ascii="仿宋_GB2312" w:eastAsia="仿宋_GB2312" w:cs="DengXian-Regular"/>
          <w:sz w:val="32"/>
          <w:szCs w:val="32"/>
          <w:lang w:val="en-US" w:eastAsia="zh-CN"/>
        </w:rPr>
        <w:t>280.58</w:t>
      </w:r>
      <w:r>
        <w:rPr>
          <w:rFonts w:hint="eastAsia" w:ascii="仿宋_GB2312" w:hAnsi="Times New Roman" w:eastAsia="仿宋_GB2312" w:cs="DengXian-Regular"/>
          <w:sz w:val="32"/>
          <w:szCs w:val="32"/>
          <w:highlight w:val="none"/>
        </w:rPr>
        <w:t>万元，</w:t>
      </w:r>
      <w:r>
        <w:rPr>
          <w:rFonts w:hint="eastAsia" w:ascii="仿宋_GB2312" w:eastAsia="仿宋_GB2312" w:cs="DengXian-Regular"/>
          <w:sz w:val="32"/>
          <w:szCs w:val="32"/>
        </w:rPr>
        <w:t>降低</w:t>
      </w:r>
      <w:r>
        <w:rPr>
          <w:rFonts w:hint="eastAsia" w:ascii="仿宋_GB2312" w:eastAsia="仿宋_GB2312" w:cs="DengXian-Regular"/>
          <w:sz w:val="32"/>
          <w:szCs w:val="32"/>
          <w:lang w:val="en-US" w:eastAsia="zh-CN"/>
        </w:rPr>
        <w:t>18.2</w:t>
      </w:r>
      <w:r>
        <w:rPr>
          <w:rFonts w:hint="eastAsia" w:ascii="仿宋_GB2312" w:eastAsia="仿宋_GB2312" w:cs="DengXian-Regular"/>
          <w:sz w:val="32"/>
          <w:szCs w:val="32"/>
        </w:rPr>
        <w:t>%，</w:t>
      </w:r>
      <w:r>
        <w:rPr>
          <w:rFonts w:hint="eastAsia" w:ascii="仿宋_GB2312" w:hAnsi="仿宋" w:eastAsia="仿宋_GB2312"/>
          <w:sz w:val="32"/>
          <w:szCs w:val="32"/>
        </w:rPr>
        <w:t>主要是</w:t>
      </w:r>
      <w:r>
        <w:rPr>
          <w:rFonts w:hint="eastAsia" w:ascii="仿宋_GB2312" w:eastAsia="仿宋_GB2312" w:cs="DengXian-Regular"/>
          <w:sz w:val="32"/>
          <w:szCs w:val="32"/>
        </w:rPr>
        <w:t>减少了综合大楼部分房间修缮改造、综合大楼机关食堂改造等</w:t>
      </w:r>
      <w:r>
        <w:rPr>
          <w:rFonts w:hint="eastAsia" w:ascii="仿宋_GB2312" w:eastAsia="仿宋_GB2312" w:cs="DengXian-Regular"/>
          <w:sz w:val="32"/>
          <w:szCs w:val="32"/>
          <w:lang w:eastAsia="zh-CN"/>
        </w:rPr>
        <w:t>项目</w:t>
      </w:r>
      <w:r>
        <w:rPr>
          <w:rFonts w:hint="eastAsia" w:ascii="仿宋_GB2312" w:hAnsi="仿宋" w:eastAsia="仿宋_GB2312"/>
          <w:sz w:val="32"/>
          <w:szCs w:val="32"/>
          <w:lang w:eastAsia="zh-CN"/>
        </w:rPr>
        <w:t>。</w:t>
      </w:r>
    </w:p>
    <w:p w14:paraId="350AF517">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EB6A337">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机关事务服务中心是管理县委、人大、政府、政协以及机关大院各单位机关事务的职能部门。主要职能是依据党和国家方针政策，在县委县政府的直接领导下，对县四大班子及院内各部室委办的机关事务进行有效管理和提供优质服务。进一步提高综合办公大楼的管理、服务、保障的综合能力；规范管理、服务行为，以服务对象满意为标准，实行规范化管理。加强水电暖、电梯、中央空调及消防设备管理，消除不安全隐患，为机关干部职工打造安全、舒适、和谐的工作环境；加强公务用车服务平台建设，完善公务用车制度改革；继续做好扶贫工作，做好精确扶贫有关事项；完成县委县政府交办的其他工作；不断推进机关事务工作科学发展，综合服务满意率大于90%。</w:t>
      </w:r>
    </w:p>
    <w:p w14:paraId="025C988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C0205F5">
      <w:pPr>
        <w:spacing w:line="560" w:lineRule="exact"/>
        <w:ind w:firstLine="320" w:firstLineChars="100"/>
        <w:rPr>
          <w:rFonts w:ascii="楷体" w:hAnsi="楷体" w:eastAsia="楷体" w:cs="楷体_GB2312"/>
          <w:sz w:val="32"/>
          <w:szCs w:val="32"/>
        </w:rPr>
      </w:pPr>
      <w:r>
        <w:rPr>
          <w:rFonts w:hint="eastAsia" w:ascii="楷体" w:hAnsi="楷体" w:eastAsia="楷体" w:cs="楷体_GB2312"/>
          <w:bCs/>
          <w:sz w:val="32"/>
          <w:szCs w:val="32"/>
        </w:rPr>
        <w:t>（一）自评的组织工作</w:t>
      </w:r>
    </w:p>
    <w:p w14:paraId="7AD0F697">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准备情况</w:t>
      </w:r>
      <w:r>
        <w:rPr>
          <w:rFonts w:hint="eastAsia" w:ascii="仿宋_GB2312" w:hAnsi="Times New Roman" w:eastAsia="仿宋_GB2312" w:cs="DengXian-Regular"/>
          <w:sz w:val="32"/>
          <w:szCs w:val="32"/>
          <w:lang w:eastAsia="zh-CN"/>
        </w:rPr>
        <w:t>：</w:t>
      </w:r>
    </w:p>
    <w:p w14:paraId="289BE559">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是明确绩效评价的内容和范围。明确四个方面的评价内容和此次绩效评价的范围。二是研究评价指标体系。三是召开座谈会，对方案进行反复讨论并广泛征求有关问道有关人员意见。四是确定了部门项目预算评价方法。</w:t>
      </w:r>
    </w:p>
    <w:p w14:paraId="509B72EC">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实施情况</w:t>
      </w:r>
      <w:r>
        <w:rPr>
          <w:rFonts w:hint="eastAsia" w:ascii="仿宋_GB2312" w:hAnsi="Times New Roman" w:eastAsia="仿宋_GB2312" w:cs="DengXian-Regular"/>
          <w:sz w:val="32"/>
          <w:szCs w:val="32"/>
          <w:lang w:eastAsia="zh-CN"/>
        </w:rPr>
        <w:t>：</w:t>
      </w:r>
    </w:p>
    <w:p w14:paraId="19A01A51">
      <w:pPr>
        <w:adjustRightInd w:val="0"/>
        <w:snapToGrid w:val="0"/>
        <w:spacing w:line="580" w:lineRule="exact"/>
        <w:ind w:firstLine="640" w:firstLineChars="200"/>
        <w:rPr>
          <w:rFonts w:hint="eastAsia" w:ascii="仿宋_GB2312" w:hAnsi="Times New Roman" w:eastAsia="仿宋_GB2312" w:cs="DengXian-Regular"/>
          <w:sz w:val="32"/>
          <w:szCs w:val="32"/>
          <w:u w:val="none"/>
        </w:rPr>
      </w:pPr>
      <w:r>
        <w:rPr>
          <w:rFonts w:hint="eastAsia" w:ascii="仿宋_GB2312" w:hAnsi="Times New Roman" w:eastAsia="仿宋_GB2312" w:cs="DengXian-Regular"/>
          <w:sz w:val="32"/>
          <w:szCs w:val="32"/>
          <w:u w:val="none"/>
          <w:lang w:eastAsia="zh-CN"/>
        </w:rPr>
        <w:t>（</w:t>
      </w:r>
      <w:r>
        <w:rPr>
          <w:rFonts w:hint="eastAsia" w:ascii="仿宋_GB2312" w:hAnsi="Times New Roman" w:eastAsia="仿宋_GB2312" w:cs="DengXian-Regular"/>
          <w:sz w:val="32"/>
          <w:szCs w:val="32"/>
          <w:u w:val="none"/>
        </w:rPr>
        <w:t>1</w:t>
      </w:r>
      <w:r>
        <w:rPr>
          <w:rFonts w:hint="eastAsia" w:ascii="仿宋_GB2312" w:hAnsi="Times New Roman" w:eastAsia="仿宋_GB2312" w:cs="DengXian-Regular"/>
          <w:sz w:val="32"/>
          <w:szCs w:val="32"/>
          <w:u w:val="none"/>
          <w:lang w:eastAsia="zh-CN"/>
        </w:rPr>
        <w:t>）</w:t>
      </w:r>
      <w:r>
        <w:rPr>
          <w:rFonts w:hint="eastAsia" w:ascii="仿宋_GB2312" w:hAnsi="Times New Roman" w:eastAsia="仿宋_GB2312" w:cs="DengXian-Regular"/>
          <w:sz w:val="32"/>
          <w:szCs w:val="32"/>
          <w:u w:val="none"/>
        </w:rPr>
        <w:t>成立预算绩效评价组。为保证绩效评价工作顺利开展，我单位成立了专门绩效评价小组，负责绩效评价的组织管理和实施工作。</w:t>
      </w:r>
    </w:p>
    <w:p w14:paraId="1B0378FC">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2</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组织部门自评。预算按照要求整理相关数据和资料，对部门综合绩效情况进行自我评价，填报《项目支出绩效自评表》，并撰写《部门年度绩效自评工作报告》。</w:t>
      </w:r>
    </w:p>
    <w:p w14:paraId="7724EB4C">
      <w:pPr>
        <w:adjustRightInd w:val="0"/>
        <w:snapToGrid w:val="0"/>
        <w:spacing w:line="580" w:lineRule="exact"/>
        <w:ind w:firstLine="640" w:firstLineChars="200"/>
        <w:rPr>
          <w:rFonts w:hint="eastAsia" w:ascii="仿宋_GB2312" w:hAnsi="Times New Roman" w:eastAsia="仿宋_GB2312" w:cs="DengXian-Regular"/>
          <w:sz w:val="32"/>
          <w:szCs w:val="32"/>
          <w:highlight w:val="none"/>
        </w:rPr>
      </w:pP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highlight w:val="none"/>
        </w:rPr>
        <w:t>3</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highlight w:val="none"/>
        </w:rPr>
        <w:t>组织开展绩效重点评价工作。本次重点评价对象为202</w:t>
      </w:r>
      <w:r>
        <w:rPr>
          <w:rFonts w:hint="eastAsia" w:ascii="仿宋_GB2312" w:eastAsia="仿宋_GB2312" w:cs="DengXian-Regular"/>
          <w:sz w:val="32"/>
          <w:szCs w:val="32"/>
          <w:highlight w:val="none"/>
          <w:lang w:val="en-US" w:eastAsia="zh-CN"/>
        </w:rPr>
        <w:t>5</w:t>
      </w:r>
      <w:r>
        <w:rPr>
          <w:rFonts w:hint="eastAsia" w:ascii="仿宋_GB2312" w:hAnsi="Times New Roman" w:eastAsia="仿宋_GB2312" w:cs="DengXian-Regular"/>
          <w:sz w:val="32"/>
          <w:szCs w:val="32"/>
          <w:highlight w:val="none"/>
        </w:rPr>
        <w:t>年度预算的1个项目，涉及资金</w:t>
      </w:r>
      <w:r>
        <w:rPr>
          <w:rFonts w:hint="eastAsia" w:ascii="仿宋_GB2312" w:eastAsia="仿宋_GB2312" w:cs="DengXian-Regular"/>
          <w:sz w:val="32"/>
          <w:szCs w:val="32"/>
          <w:highlight w:val="none"/>
          <w:lang w:val="en-US" w:eastAsia="zh-CN"/>
        </w:rPr>
        <w:t>9</w:t>
      </w:r>
      <w:r>
        <w:rPr>
          <w:rFonts w:hint="eastAsia" w:ascii="仿宋_GB2312" w:hAnsi="Times New Roman" w:eastAsia="仿宋_GB2312" w:cs="DengXian-Regular"/>
          <w:sz w:val="32"/>
          <w:szCs w:val="32"/>
          <w:highlight w:val="none"/>
        </w:rPr>
        <w:t>万元。</w:t>
      </w:r>
    </w:p>
    <w:p w14:paraId="1A364C72">
      <w:pPr>
        <w:adjustRightInd w:val="0"/>
        <w:snapToGrid w:val="0"/>
        <w:spacing w:line="580" w:lineRule="exact"/>
        <w:ind w:firstLine="640" w:firstLineChars="200"/>
        <w:rPr>
          <w:rFonts w:ascii="仿宋" w:hAnsi="仿宋" w:eastAsia="仿宋"/>
          <w:sz w:val="32"/>
          <w:szCs w:val="32"/>
        </w:rPr>
      </w:pPr>
      <w:r>
        <w:rPr>
          <w:rFonts w:hint="eastAsia" w:ascii="仿宋_GB2312" w:hAnsi="Times New Roman" w:eastAsia="仿宋_GB2312" w:cs="DengXian-Regular"/>
          <w:sz w:val="32"/>
          <w:szCs w:val="32"/>
        </w:rPr>
        <w:t>我部门对项目资金支出由业务科室进行把关，科室负责人、主管领导、财务负责人进行集体会签，确保资金专款专用，及时高效。</w:t>
      </w:r>
    </w:p>
    <w:p w14:paraId="175A4499">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E05AFCB">
      <w:pPr>
        <w:adjustRightInd w:val="0"/>
        <w:snapToGrid w:val="0"/>
        <w:spacing w:line="580" w:lineRule="exact"/>
        <w:ind w:firstLine="640" w:firstLineChars="200"/>
        <w:rPr>
          <w:rFonts w:ascii="楷体" w:hAnsi="楷体" w:eastAsia="楷体" w:cs="楷体_GB2312"/>
          <w:bCs/>
          <w:sz w:val="32"/>
          <w:szCs w:val="32"/>
        </w:rPr>
      </w:pPr>
      <w:r>
        <w:rPr>
          <w:rFonts w:hint="eastAsia" w:ascii="仿宋_GB2312" w:hAnsi="Times New Roman" w:eastAsia="仿宋_GB2312" w:cs="DengXian-Regular"/>
          <w:sz w:val="32"/>
          <w:szCs w:val="32"/>
          <w:lang w:eastAsia="zh-CN"/>
        </w:rPr>
        <w:t>我单位领导高度重视绩效评价工作，成立绩效评价管理工作领导小组</w:t>
      </w:r>
      <w:r>
        <w:rPr>
          <w:rFonts w:hint="eastAsia" w:ascii="仿宋_GB2312" w:eastAsia="仿宋_GB2312" w:cs="DengXian-Regular"/>
          <w:sz w:val="32"/>
          <w:szCs w:val="32"/>
          <w:lang w:eastAsia="zh-CN"/>
        </w:rPr>
        <w:t>，</w:t>
      </w:r>
      <w:r>
        <w:rPr>
          <w:rFonts w:hint="eastAsia" w:ascii="仿宋_GB2312" w:hAnsi="Times New Roman" w:eastAsia="仿宋_GB2312" w:cs="DengXian-Regular"/>
          <w:sz w:val="32"/>
          <w:szCs w:val="32"/>
          <w:lang w:eastAsia="zh-CN"/>
        </w:rPr>
        <w:t>主任任组长。自评采取成本效益法，在认真收集基础数据及资料来源的前提下对项目的支出绩效情况进行评价，对项目成果进行验收及核实，做到数据真实、资料完整、评价客观。</w:t>
      </w:r>
    </w:p>
    <w:p w14:paraId="5C04BD2E">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C106287">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1490D5D">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机关事务服务中心是管理县委、人大、政府、政协以及机关大院各单位机关事务的职能部门。主要职能是依据党和国家方针政策，在县委县政府的直接领导下，对县四大班子及院内各部室委办的机关事务进行有效管理和提供优质服务。进一步提高综合办公大楼的管理、服务、保障的综合能力；规范管理、服务行为，以服务对象满意为标准，实行规范化管理。加强水电暖、电梯、中央空调及消防设备管理，消除不安全隐患，为机关干部职工打造安全、舒适、和谐的工作环境；加强公务用车服务平台建设，完善公务用车制度改革；继续做好扶贫工作，做好精确扶贫有关事项；完成县委县政府交办的其他工作；不断推进机关事务工作科学发展，综合服务满意率大于90%。</w:t>
      </w:r>
    </w:p>
    <w:p w14:paraId="590A129B">
      <w:pPr>
        <w:spacing w:line="560" w:lineRule="exact"/>
        <w:ind w:firstLine="640" w:firstLineChars="200"/>
        <w:rPr>
          <w:rFonts w:ascii="仿宋" w:hAnsi="仿宋" w:eastAsia="仿宋"/>
          <w:sz w:val="32"/>
          <w:szCs w:val="32"/>
        </w:rPr>
      </w:pPr>
      <w:r>
        <w:rPr>
          <w:rFonts w:hint="eastAsia" w:ascii="仿宋_GB2312" w:hAnsi="Times New Roman" w:eastAsia="仿宋_GB2312" w:cs="DengXian-Regular"/>
          <w:sz w:val="32"/>
          <w:szCs w:val="32"/>
          <w:lang w:eastAsia="zh-CN"/>
        </w:rPr>
        <w:t>完成情况：圆满完成总体绩效目标任务，完成率100%</w:t>
      </w:r>
      <w:r>
        <w:rPr>
          <w:rFonts w:hint="eastAsia" w:ascii="仿宋" w:hAnsi="仿宋" w:eastAsia="仿宋"/>
          <w:sz w:val="32"/>
          <w:szCs w:val="32"/>
        </w:rPr>
        <w:t>。</w:t>
      </w:r>
    </w:p>
    <w:p w14:paraId="6732DF07">
      <w:pPr>
        <w:spacing w:line="560" w:lineRule="exact"/>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34F70FF1">
      <w:pPr>
        <w:shd w:val="clear" w:color="auto" w:fill="FFFFFF"/>
        <w:adjustRightInd w:val="0"/>
        <w:snapToGrid w:val="0"/>
        <w:spacing w:line="580" w:lineRule="exact"/>
        <w:ind w:firstLine="640" w:firstLineChars="200"/>
        <w:rPr>
          <w:rFonts w:hint="eastAsia" w:ascii="仿宋_GB2312" w:hAnsi="Times New Roman" w:eastAsia="仿宋_GB2312" w:cs="DengXian-Regular"/>
          <w:sz w:val="32"/>
          <w:szCs w:val="32"/>
          <w:highlight w:val="none"/>
          <w:lang w:eastAsia="zh-CN"/>
        </w:rPr>
      </w:pPr>
      <w:r>
        <w:rPr>
          <w:rFonts w:hint="eastAsia" w:ascii="仿宋_GB2312" w:hAnsi="Times New Roman" w:eastAsia="仿宋_GB2312" w:cs="DengXian-Regular"/>
          <w:sz w:val="32"/>
          <w:szCs w:val="32"/>
          <w:highlight w:val="none"/>
          <w:lang w:eastAsia="zh-CN"/>
        </w:rPr>
        <w:t>（</w:t>
      </w:r>
      <w:r>
        <w:rPr>
          <w:rFonts w:hint="eastAsia" w:ascii="仿宋_GB2312" w:eastAsia="仿宋_GB2312" w:cs="DengXian-Regular"/>
          <w:sz w:val="32"/>
          <w:szCs w:val="32"/>
          <w:highlight w:val="none"/>
          <w:lang w:val="en-US" w:eastAsia="zh-CN"/>
        </w:rPr>
        <w:t>1</w:t>
      </w:r>
      <w:r>
        <w:rPr>
          <w:rFonts w:hint="eastAsia" w:ascii="仿宋_GB2312" w:hAnsi="Times New Roman" w:eastAsia="仿宋_GB2312" w:cs="DengXian-Regular"/>
          <w:sz w:val="32"/>
          <w:szCs w:val="32"/>
          <w:highlight w:val="none"/>
          <w:lang w:eastAsia="zh-CN"/>
        </w:rPr>
        <w:t>）综合办公大楼房顶修缮费用绩效目标情况</w:t>
      </w:r>
    </w:p>
    <w:p w14:paraId="522F66A5">
      <w:pPr>
        <w:shd w:val="clear" w:color="auto" w:fill="FFFFFF"/>
        <w:adjustRightInd w:val="0"/>
        <w:snapToGrid w:val="0"/>
        <w:spacing w:line="580" w:lineRule="exact"/>
        <w:ind w:firstLine="640" w:firstLineChars="200"/>
        <w:rPr>
          <w:rFonts w:hint="eastAsia" w:ascii="仿宋_GB2312" w:hAnsi="Times New Roman" w:eastAsia="仿宋_GB2312" w:cs="DengXian-Regular"/>
          <w:sz w:val="32"/>
          <w:szCs w:val="32"/>
          <w:highlight w:val="none"/>
          <w:lang w:val="en-US" w:eastAsia="zh-CN"/>
        </w:rPr>
      </w:pPr>
      <w:r>
        <w:rPr>
          <w:rFonts w:hint="eastAsia" w:ascii="仿宋_GB2312" w:hAnsi="Times New Roman" w:eastAsia="仿宋_GB2312" w:cs="DengXian-Regular"/>
          <w:sz w:val="32"/>
          <w:szCs w:val="32"/>
          <w:highlight w:val="none"/>
          <w:lang w:eastAsia="zh-CN"/>
        </w:rPr>
        <w:t>绩效目标：在控制数内完成</w:t>
      </w:r>
      <w:r>
        <w:rPr>
          <w:rFonts w:hint="eastAsia" w:ascii="仿宋_GB2312" w:hAnsi="Times New Roman" w:eastAsia="仿宋_GB2312" w:cs="DengXian-Regular"/>
          <w:sz w:val="32"/>
          <w:szCs w:val="32"/>
          <w:highlight w:val="none"/>
          <w:lang w:val="en-US" w:eastAsia="zh-CN"/>
        </w:rPr>
        <w:t>综合楼房顶修缮费用</w:t>
      </w:r>
      <w:r>
        <w:rPr>
          <w:rFonts w:hint="eastAsia" w:ascii="仿宋_GB2312" w:hAnsi="Times New Roman" w:eastAsia="仿宋_GB2312" w:cs="DengXian-Regular"/>
          <w:sz w:val="32"/>
          <w:szCs w:val="32"/>
          <w:highlight w:val="none"/>
          <w:lang w:eastAsia="zh-CN"/>
        </w:rPr>
        <w:t>。</w:t>
      </w:r>
      <w:r>
        <w:rPr>
          <w:rFonts w:hint="eastAsia" w:ascii="仿宋_GB2312" w:hAnsi="Times New Roman" w:eastAsia="仿宋_GB2312" w:cs="DengXian-Regular"/>
          <w:sz w:val="32"/>
          <w:szCs w:val="32"/>
          <w:highlight w:val="none"/>
          <w:lang w:val="en-US" w:eastAsia="zh-CN"/>
        </w:rPr>
        <w:t>房屋维修维护面积不低于1800平方米。综合楼干部职工满意率不低于80%。</w:t>
      </w:r>
    </w:p>
    <w:p w14:paraId="3442B223">
      <w:pPr>
        <w:shd w:val="clear" w:color="auto" w:fill="FFFFFF"/>
        <w:adjustRightInd w:val="0"/>
        <w:snapToGrid w:val="0"/>
        <w:spacing w:line="580" w:lineRule="exact"/>
        <w:ind w:firstLine="640" w:firstLineChars="200"/>
        <w:rPr>
          <w:rFonts w:hint="eastAsia" w:ascii="仿宋_GB2312" w:hAnsi="Times New Roman" w:eastAsia="仿宋_GB2312" w:cs="DengXian-Regular"/>
          <w:sz w:val="32"/>
          <w:szCs w:val="32"/>
          <w:highlight w:val="none"/>
          <w:lang w:eastAsia="zh-CN"/>
        </w:rPr>
      </w:pPr>
      <w:r>
        <w:rPr>
          <w:rFonts w:hint="eastAsia" w:ascii="仿宋_GB2312" w:hAnsi="Times New Roman" w:eastAsia="仿宋_GB2312" w:cs="DengXian-Regular"/>
          <w:sz w:val="32"/>
          <w:szCs w:val="32"/>
          <w:highlight w:val="none"/>
          <w:lang w:eastAsia="zh-CN"/>
        </w:rPr>
        <w:t>完成情况：圆满完成绩效目标任务，完成率100%。</w:t>
      </w:r>
    </w:p>
    <w:p w14:paraId="6C409718">
      <w:pPr>
        <w:pStyle w:val="6"/>
        <w:numPr>
          <w:ilvl w:val="0"/>
          <w:numId w:val="0"/>
        </w:numPr>
        <w:ind w:firstLine="640" w:firstLineChars="200"/>
        <w:jc w:val="left"/>
        <w:rPr>
          <w:rFonts w:hint="eastAsia" w:ascii="仿宋_GB2312" w:eastAsia="仿宋_GB2312" w:cs="DengXian-Regular"/>
          <w:sz w:val="32"/>
          <w:szCs w:val="32"/>
          <w:highlight w:val="none"/>
          <w:lang w:val="en-US" w:eastAsia="zh-CN"/>
        </w:rPr>
      </w:pPr>
      <w:r>
        <w:rPr>
          <w:rFonts w:hint="eastAsia" w:ascii="仿宋" w:hAnsi="仿宋" w:eastAsia="仿宋"/>
          <w:b w:val="0"/>
          <w:bCs w:val="0"/>
          <w:sz w:val="32"/>
          <w:szCs w:val="32"/>
          <w:highlight w:val="none"/>
          <w:lang w:val="en-US" w:eastAsia="zh-CN"/>
        </w:rPr>
        <w:t>（2）综合楼有限收视费、视频会议室线路租赁费项目</w:t>
      </w:r>
      <w:r>
        <w:rPr>
          <w:rFonts w:hint="eastAsia" w:ascii="仿宋_GB2312" w:eastAsia="仿宋_GB2312" w:cs="DengXian-Regular"/>
          <w:sz w:val="32"/>
          <w:szCs w:val="32"/>
          <w:highlight w:val="none"/>
          <w:lang w:val="en-US" w:eastAsia="zh-CN"/>
        </w:rPr>
        <w:t>绩</w:t>
      </w:r>
      <w:r>
        <w:rPr>
          <w:rFonts w:hint="eastAsia" w:ascii="仿宋_GB2312" w:hAnsi="Times New Roman" w:eastAsia="仿宋_GB2312" w:cs="DengXian-Regular"/>
          <w:sz w:val="32"/>
          <w:szCs w:val="32"/>
          <w:highlight w:val="none"/>
          <w:lang w:eastAsia="zh-CN"/>
        </w:rPr>
        <w:t>效</w:t>
      </w:r>
      <w:r>
        <w:rPr>
          <w:rFonts w:hint="eastAsia" w:ascii="仿宋_GB2312" w:eastAsia="仿宋_GB2312" w:cs="DengXian-Regular"/>
          <w:sz w:val="32"/>
          <w:szCs w:val="32"/>
          <w:highlight w:val="none"/>
          <w:lang w:val="en-US" w:eastAsia="zh-CN"/>
        </w:rPr>
        <w:t>目标情况</w:t>
      </w:r>
    </w:p>
    <w:p w14:paraId="79AC49B6">
      <w:pPr>
        <w:adjustRightInd w:val="0"/>
        <w:snapToGrid w:val="0"/>
        <w:spacing w:line="360" w:lineRule="auto"/>
        <w:ind w:firstLine="640" w:firstLineChars="200"/>
        <w:rPr>
          <w:rFonts w:hint="eastAsia" w:ascii="仿宋_GB2312" w:hAnsi="Times New Roman" w:eastAsia="仿宋_GB2312" w:cs="DengXian-Regular"/>
          <w:sz w:val="32"/>
          <w:szCs w:val="32"/>
          <w:highlight w:val="none"/>
          <w:lang w:val="en-US" w:eastAsia="zh-CN"/>
        </w:rPr>
      </w:pPr>
      <w:r>
        <w:rPr>
          <w:rFonts w:hint="eastAsia" w:ascii="仿宋_GB2312" w:hAnsi="Times New Roman" w:eastAsia="仿宋_GB2312" w:cs="DengXian-Regular"/>
          <w:sz w:val="32"/>
          <w:szCs w:val="32"/>
          <w:highlight w:val="none"/>
          <w:lang w:val="en-US" w:eastAsia="zh-CN"/>
        </w:rPr>
        <w:t>绩效目标：</w:t>
      </w:r>
      <w:r>
        <w:rPr>
          <w:rFonts w:hint="eastAsia" w:ascii="仿宋" w:hAnsi="仿宋" w:eastAsia="仿宋" w:cs="仿宋"/>
          <w:sz w:val="32"/>
          <w:szCs w:val="32"/>
          <w:highlight w:val="none"/>
          <w:lang w:val="en-US" w:eastAsia="zh-CN"/>
        </w:rPr>
        <w:t>一年内完成支付</w:t>
      </w:r>
      <w:r>
        <w:rPr>
          <w:rFonts w:hint="eastAsia" w:ascii="仿宋" w:hAnsi="仿宋" w:eastAsia="仿宋"/>
          <w:b w:val="0"/>
          <w:bCs w:val="0"/>
          <w:sz w:val="32"/>
          <w:szCs w:val="32"/>
          <w:highlight w:val="none"/>
          <w:lang w:val="en-US" w:eastAsia="zh-CN"/>
        </w:rPr>
        <w:t>综合楼有限收视费、视频会议室线路租赁费</w:t>
      </w:r>
      <w:r>
        <w:rPr>
          <w:rFonts w:hint="eastAsia" w:ascii="仿宋" w:hAnsi="仿宋" w:eastAsia="仿宋" w:cs="仿宋"/>
          <w:sz w:val="32"/>
          <w:szCs w:val="32"/>
          <w:highlight w:val="none"/>
          <w:lang w:val="en-US" w:eastAsia="zh-CN"/>
        </w:rPr>
        <w:t>，且验收合格率不低于95%。综合楼有线电视缴纳台数不低于300台。综合楼职工满意率不低于80%。</w:t>
      </w:r>
    </w:p>
    <w:p w14:paraId="707E43D1">
      <w:pPr>
        <w:pStyle w:val="6"/>
        <w:ind w:left="0" w:leftChars="0" w:firstLine="640" w:firstLineChars="200"/>
        <w:rPr>
          <w:rFonts w:hint="eastAsia" w:ascii="仿宋_GB2312" w:hAnsi="Times New Roman" w:eastAsia="仿宋_GB2312" w:cs="DengXian-Regular"/>
          <w:sz w:val="32"/>
          <w:szCs w:val="32"/>
          <w:highlight w:val="none"/>
          <w:lang w:eastAsia="zh-CN"/>
        </w:rPr>
      </w:pPr>
      <w:r>
        <w:rPr>
          <w:rFonts w:hint="eastAsia" w:ascii="仿宋_GB2312" w:eastAsia="仿宋_GB2312" w:cs="DengXian-Regular"/>
          <w:sz w:val="32"/>
          <w:szCs w:val="32"/>
          <w:highlight w:val="none"/>
          <w:lang w:val="en-US" w:eastAsia="zh-CN"/>
        </w:rPr>
        <w:t>完成情况：</w:t>
      </w:r>
      <w:r>
        <w:rPr>
          <w:rFonts w:hint="eastAsia" w:ascii="仿宋_GB2312" w:hAnsi="Times New Roman" w:eastAsia="仿宋_GB2312" w:cs="DengXian-Regular"/>
          <w:sz w:val="32"/>
          <w:szCs w:val="32"/>
          <w:highlight w:val="none"/>
          <w:lang w:eastAsia="zh-CN"/>
        </w:rPr>
        <w:t>圆满完成绩效目标任务，完成率100%</w:t>
      </w:r>
      <w:r>
        <w:rPr>
          <w:rFonts w:hint="eastAsia" w:ascii="仿宋_GB2312" w:eastAsia="仿宋_GB2312" w:cs="DengXian-Regular"/>
          <w:sz w:val="32"/>
          <w:szCs w:val="32"/>
          <w:highlight w:val="none"/>
          <w:lang w:eastAsia="zh-CN"/>
        </w:rPr>
        <w:t>。</w:t>
      </w:r>
    </w:p>
    <w:p w14:paraId="59D9275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3C9150B">
      <w:pPr>
        <w:spacing w:line="560" w:lineRule="exact"/>
        <w:ind w:firstLine="640" w:firstLineChars="200"/>
        <w:rPr>
          <w:rFonts w:ascii="黑体" w:hAnsi="黑体" w:eastAsia="黑体"/>
          <w:sz w:val="32"/>
          <w:szCs w:val="32"/>
        </w:rPr>
      </w:pPr>
      <w:r>
        <w:rPr>
          <w:rFonts w:hint="eastAsia" w:ascii="仿宋_GB2312" w:hAnsi="Times New Roman" w:eastAsia="仿宋_GB2312" w:cs="DengXian-Regular"/>
          <w:sz w:val="32"/>
          <w:szCs w:val="32"/>
          <w:highlight w:val="none"/>
          <w:lang w:eastAsia="zh-CN"/>
        </w:rPr>
        <w:t>全年共实施</w:t>
      </w:r>
      <w:r>
        <w:rPr>
          <w:rFonts w:hint="eastAsia" w:ascii="仿宋_GB2312" w:hAnsi="Times New Roman" w:eastAsia="仿宋_GB2312" w:cs="DengXian-Regular"/>
          <w:sz w:val="32"/>
          <w:szCs w:val="32"/>
          <w:highlight w:val="none"/>
          <w:lang w:val="en-US" w:eastAsia="zh-CN"/>
        </w:rPr>
        <w:t>3</w:t>
      </w:r>
      <w:r>
        <w:rPr>
          <w:rFonts w:hint="eastAsia" w:ascii="仿宋_GB2312" w:eastAsia="仿宋_GB2312" w:cs="DengXian-Regular"/>
          <w:sz w:val="32"/>
          <w:szCs w:val="32"/>
          <w:highlight w:val="none"/>
          <w:lang w:val="en-US" w:eastAsia="zh-CN"/>
        </w:rPr>
        <w:t>4</w:t>
      </w:r>
      <w:r>
        <w:rPr>
          <w:rFonts w:hint="eastAsia" w:ascii="仿宋_GB2312" w:hAnsi="Times New Roman" w:eastAsia="仿宋_GB2312" w:cs="DengXian-Regular"/>
          <w:sz w:val="32"/>
          <w:szCs w:val="32"/>
          <w:highlight w:val="none"/>
          <w:lang w:val="en-US" w:eastAsia="zh-CN"/>
        </w:rPr>
        <w:t>个</w:t>
      </w:r>
      <w:r>
        <w:rPr>
          <w:rFonts w:hint="eastAsia" w:ascii="仿宋_GB2312" w:hAnsi="Times New Roman" w:eastAsia="仿宋_GB2312" w:cs="DengXian-Regular"/>
          <w:sz w:val="32"/>
          <w:szCs w:val="32"/>
          <w:highlight w:val="none"/>
          <w:lang w:eastAsia="zh-CN"/>
        </w:rPr>
        <w:t>项目，</w:t>
      </w:r>
      <w:r>
        <w:rPr>
          <w:rFonts w:hint="eastAsia" w:ascii="仿宋_GB2312" w:eastAsia="仿宋_GB2312" w:cs="DengXian-Regular"/>
          <w:sz w:val="32"/>
          <w:szCs w:val="32"/>
          <w:highlight w:val="none"/>
          <w:lang w:eastAsia="zh-CN"/>
        </w:rPr>
        <w:t>（综合楼后勤保障经费90</w:t>
      </w:r>
      <w:r>
        <w:rPr>
          <w:rFonts w:hint="eastAsia" w:ascii="仿宋_GB2312" w:eastAsia="仿宋_GB2312" w:cs="DengXian-Regular"/>
          <w:sz w:val="32"/>
          <w:szCs w:val="32"/>
          <w:highlight w:val="none"/>
          <w:lang w:val="en-US" w:eastAsia="zh-CN"/>
        </w:rPr>
        <w:t xml:space="preserve"> 信息网络等劳务费90 综合楼、行政中心物业费90 综合楼有线收视费、视频会议室线路租赁费100 优化营商环境专项治理经费90 县武装部“四个秩序”规范化建设100  2025年综合业务费90 综合大楼、行政中心电费90 综合楼日常保障经费90 综合楼设备维修（护）费90 会议保障经费90 元氏县公车、公房、节能等经费90 行政服务中心、教育基地保障经费90 退役士兵安置经费90 综合办公大楼宣传展品制作费用90 异地交流干部工作生活保障经费90 综合办公大楼电梯安装费用90  2025年4月份自收自支人员企业养老保险90  2025年1-3月份自收自支人员企业养老保险90 综合办公大楼房顶修缮费用100 2025年5月份自收自支人员企业养老保险90  2025年6月份自收自支人员企业养老保险90 综合办公大楼东配楼彩钢房顶安装费用100 综合办公大楼、行政服务中心电费90 优化营商环境专项治理经费100  2025年7月份自收自支人员企业养老保险90 综合办公大楼、行政服务中心电费经费90  2025年8月份自收自支人员企业养老保险90 综合办公大楼、行政服务中心电费经费90 综合办公大楼宣传大屏幕制作费用90  2025年9月自收自支人员企业养老保险90 残疾人就业保障金90  2025年10月自收自支人员企业养老保险90  综合办公大楼、行政服务中心电费经费90 </w:t>
      </w:r>
      <w:r>
        <w:rPr>
          <w:rFonts w:hint="eastAsia" w:ascii="仿宋_GB2312" w:eastAsia="仿宋_GB2312" w:cs="DengXian-Regular"/>
          <w:sz w:val="32"/>
          <w:szCs w:val="32"/>
          <w:highlight w:val="none"/>
          <w:lang w:eastAsia="zh-CN"/>
        </w:rPr>
        <w:t>）</w:t>
      </w:r>
      <w:r>
        <w:rPr>
          <w:rFonts w:hint="eastAsia" w:ascii="仿宋_GB2312" w:hAnsi="Times New Roman" w:eastAsia="仿宋_GB2312" w:cs="DengXian-Regular"/>
          <w:sz w:val="32"/>
          <w:szCs w:val="32"/>
          <w:highlight w:val="none"/>
          <w:lang w:val="en-US" w:eastAsia="zh-CN"/>
        </w:rPr>
        <w:t xml:space="preserve"> </w:t>
      </w:r>
      <w:r>
        <w:rPr>
          <w:rFonts w:hint="eastAsia" w:ascii="仿宋_GB2312" w:hAnsi="Times New Roman" w:eastAsia="仿宋_GB2312" w:cs="DengXian-Regular"/>
          <w:sz w:val="32"/>
          <w:szCs w:val="32"/>
          <w:highlight w:val="none"/>
          <w:lang w:eastAsia="zh-CN"/>
        </w:rPr>
        <w:t>综合绩效评价得分</w:t>
      </w:r>
      <w:r>
        <w:rPr>
          <w:rFonts w:hint="eastAsia" w:ascii="仿宋_GB2312" w:hAnsi="Times New Roman" w:eastAsia="仿宋_GB2312" w:cs="DengXian-Regular"/>
          <w:sz w:val="32"/>
          <w:szCs w:val="32"/>
          <w:highlight w:val="none"/>
          <w:lang w:val="en-US" w:eastAsia="zh-CN"/>
        </w:rPr>
        <w:t>91.18</w:t>
      </w:r>
      <w:r>
        <w:rPr>
          <w:rFonts w:hint="eastAsia" w:ascii="仿宋_GB2312" w:hAnsi="Times New Roman" w:eastAsia="仿宋_GB2312" w:cs="DengXian-Regular"/>
          <w:sz w:val="32"/>
          <w:szCs w:val="32"/>
          <w:highlight w:val="none"/>
          <w:lang w:eastAsia="zh-CN"/>
        </w:rPr>
        <w:t>分，综合绩效评价等级为“优”。</w:t>
      </w:r>
      <w:r>
        <w:rPr>
          <w:rFonts w:hint="eastAsia" w:ascii="黑体" w:hAnsi="黑体" w:eastAsia="黑体"/>
          <w:sz w:val="32"/>
          <w:szCs w:val="32"/>
        </w:rPr>
        <w:t>五、存在的问题及改进措施</w:t>
      </w:r>
    </w:p>
    <w:p w14:paraId="2E5DC678">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F24D486">
      <w:pPr>
        <w:adjustRightInd w:val="0"/>
        <w:snapToGrid w:val="0"/>
        <w:spacing w:line="580" w:lineRule="exact"/>
        <w:ind w:firstLine="640" w:firstLineChars="200"/>
        <w:rPr>
          <w:rFonts w:hint="eastAsia" w:ascii="楷体" w:hAnsi="楷体" w:eastAsia="楷体"/>
          <w:bCs/>
          <w:sz w:val="32"/>
          <w:szCs w:val="32"/>
        </w:rPr>
      </w:pPr>
      <w:r>
        <w:rPr>
          <w:rFonts w:hint="eastAsia" w:ascii="仿宋_GB2312" w:hAnsi="Times New Roman" w:eastAsia="仿宋_GB2312" w:cs="DengXian-Regular"/>
          <w:sz w:val="32"/>
          <w:szCs w:val="32"/>
          <w:lang w:eastAsia="zh-CN"/>
        </w:rPr>
        <w:t>从绩效自评结果来看，部门年初绩效目标设定质量较好，清晰明确，但有些存在一定片面性，具体的绩效指标设定不够全面完整、科学合理，可操作性不强，绩效标准也不够恰当适宜，评价难以用客观数据显示，主要原因是有些项目的不确定性，造成绩效指标难以用数据准确表达，难以精准的体现社会效益和经济效益。</w:t>
      </w:r>
    </w:p>
    <w:p w14:paraId="2815A898">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74A256BF">
      <w:pPr>
        <w:adjustRightInd w:val="0"/>
        <w:snapToGrid w:val="0"/>
        <w:spacing w:line="580" w:lineRule="exact"/>
        <w:ind w:firstLine="640" w:firstLineChars="200"/>
        <w:rPr>
          <w:rFonts w:hint="eastAsia" w:ascii="楷体" w:hAnsi="楷体" w:eastAsia="楷体"/>
          <w:bCs/>
          <w:sz w:val="32"/>
          <w:szCs w:val="32"/>
        </w:rPr>
      </w:pPr>
      <w:r>
        <w:rPr>
          <w:rFonts w:hint="eastAsia" w:ascii="仿宋_GB2312" w:hAnsi="Times New Roman" w:eastAsia="仿宋_GB2312" w:cs="DengXian-Regular"/>
          <w:sz w:val="32"/>
          <w:szCs w:val="32"/>
          <w:lang w:eastAsia="zh-CN"/>
        </w:rPr>
        <w:t>改进措施：一是加强预算执行的计划性，提高部门支出进度的均衡程度。二是加强对项目预算资金支出的监督检查工作，确保资金使用合法合规。三是加强对财务人员的培训工作，同时及时了解存在的问题，有疑问事项及时与财政等部门沟通解决，提高财务管理工作的规范性。四是加强项目资金和绩效目标指标的动态管理，持续改进。加大对单位预算项目管理工作的指导力度，及时了解项目情况，推进各预算单位工作任务的及时完成。</w:t>
      </w:r>
    </w:p>
    <w:p w14:paraId="168CCCD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106E9A97">
      <w:pPr>
        <w:numPr>
          <w:ilvl w:val="0"/>
          <w:numId w:val="0"/>
        </w:numPr>
        <w:shd w:val="clear" w:color="auto" w:fill="FFFFFF"/>
        <w:spacing w:line="560"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lang w:val="en-US" w:eastAsia="zh-CN"/>
        </w:rPr>
        <w:t>冯海涛</w:t>
      </w:r>
      <w:r>
        <w:rPr>
          <w:rFonts w:hint="eastAsia" w:ascii="仿宋" w:hAnsi="仿宋" w:eastAsia="仿宋"/>
          <w:sz w:val="32"/>
          <w:szCs w:val="32"/>
          <w:highlight w:val="none"/>
        </w:rPr>
        <w:t xml:space="preserve">   机关事务服务中心 主任</w:t>
      </w:r>
    </w:p>
    <w:p w14:paraId="6CA9ECC6">
      <w:pPr>
        <w:shd w:val="clear" w:color="auto" w:fill="FFFFFF"/>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val="en-US" w:eastAsia="zh-CN"/>
        </w:rPr>
        <w:t>王  强</w:t>
      </w:r>
      <w:r>
        <w:rPr>
          <w:rFonts w:hint="eastAsia" w:ascii="仿宋" w:hAnsi="仿宋" w:eastAsia="仿宋"/>
          <w:sz w:val="32"/>
          <w:szCs w:val="32"/>
          <w:highlight w:val="none"/>
        </w:rPr>
        <w:t xml:space="preserve">   机关事务服务中心 副主任</w:t>
      </w:r>
      <w:bookmarkStart w:id="0" w:name="_GoBack"/>
      <w:bookmarkEnd w:id="0"/>
    </w:p>
    <w:p w14:paraId="6558C3C7">
      <w:pPr>
        <w:shd w:val="clear" w:color="auto" w:fill="FFFFFF"/>
        <w:adjustRightInd w:val="0"/>
        <w:snapToGrid w:val="0"/>
        <w:spacing w:line="560" w:lineRule="exact"/>
        <w:ind w:firstLine="640" w:firstLineChars="200"/>
        <w:rPr>
          <w:rFonts w:hint="eastAsia" w:ascii="黑体" w:hAnsi="黑体" w:eastAsia="黑体" w:cs="黑体"/>
          <w:sz w:val="32"/>
          <w:szCs w:val="32"/>
          <w:highlight w:val="none"/>
        </w:rPr>
      </w:pPr>
      <w:r>
        <w:rPr>
          <w:rFonts w:hint="eastAsia" w:ascii="仿宋" w:hAnsi="仿宋" w:eastAsia="仿宋"/>
          <w:sz w:val="32"/>
          <w:szCs w:val="32"/>
          <w:highlight w:val="none"/>
          <w:lang w:val="en-US" w:eastAsia="zh-CN"/>
        </w:rPr>
        <w:t xml:space="preserve">周惠彬   </w:t>
      </w:r>
      <w:r>
        <w:rPr>
          <w:rFonts w:hint="eastAsia" w:ascii="仿宋" w:hAnsi="仿宋" w:eastAsia="仿宋"/>
          <w:sz w:val="32"/>
          <w:szCs w:val="32"/>
          <w:highlight w:val="none"/>
        </w:rPr>
        <w:t xml:space="preserve">机关事务服务中心 </w:t>
      </w:r>
      <w:r>
        <w:rPr>
          <w:rFonts w:hint="eastAsia" w:ascii="仿宋" w:hAnsi="仿宋" w:eastAsia="仿宋"/>
          <w:sz w:val="32"/>
          <w:szCs w:val="32"/>
          <w:highlight w:val="none"/>
          <w:lang w:val="en-US" w:eastAsia="zh-CN"/>
        </w:rPr>
        <w:t>主任科员</w:t>
      </w:r>
    </w:p>
    <w:p w14:paraId="0DB0EB3E">
      <w:pPr>
        <w:keepNext w:val="0"/>
        <w:keepLines w:val="0"/>
        <w:pageBreakBefore w:val="0"/>
        <w:widowControl w:val="0"/>
        <w:shd w:val="clear" w:color="auto" w:fill="FFFFFF"/>
        <w:kinsoku/>
        <w:wordWrap/>
        <w:overflowPunct/>
        <w:topLinePunct w:val="0"/>
        <w:autoSpaceDE/>
        <w:autoSpaceDN/>
        <w:bidi w:val="0"/>
        <w:adjustRightInd/>
        <w:snapToGrid/>
        <w:spacing w:line="560" w:lineRule="exact"/>
        <w:ind w:firstLine="2100" w:firstLineChars="1000"/>
        <w:jc w:val="center"/>
        <w:textAlignment w:val="auto"/>
        <w:rPr>
          <w:rFonts w:hint="eastAsia" w:ascii="仿宋" w:hAnsi="仿宋" w:eastAsia="仿宋"/>
          <w:lang w:val="en-US" w:eastAsia="zh-CN"/>
        </w:rPr>
      </w:pPr>
      <w:r>
        <w:rPr>
          <w:rFonts w:hint="eastAsia" w:ascii="仿宋" w:hAnsi="仿宋" w:eastAsia="仿宋"/>
          <w:lang w:val="en-US" w:eastAsia="zh-CN"/>
        </w:rPr>
        <w:t xml:space="preserve">  </w:t>
      </w:r>
    </w:p>
    <w:p w14:paraId="2B9E6D6F">
      <w:pPr>
        <w:keepNext w:val="0"/>
        <w:keepLines w:val="0"/>
        <w:pageBreakBefore w:val="0"/>
        <w:widowControl w:val="0"/>
        <w:shd w:val="clear" w:color="auto" w:fill="FFFFFF"/>
        <w:kinsoku/>
        <w:wordWrap/>
        <w:overflowPunct/>
        <w:topLinePunct w:val="0"/>
        <w:autoSpaceDE/>
        <w:autoSpaceDN/>
        <w:bidi w:val="0"/>
        <w:adjustRightInd/>
        <w:snapToGrid/>
        <w:spacing w:line="560" w:lineRule="exact"/>
        <w:ind w:firstLine="2100" w:firstLineChars="1000"/>
        <w:jc w:val="center"/>
        <w:textAlignment w:val="auto"/>
        <w:rPr>
          <w:rFonts w:hint="eastAsia" w:ascii="仿宋_GB2312" w:hAnsi="仿宋_GB2312" w:eastAsia="仿宋_GB2312" w:cs="仿宋_GB2312"/>
          <w:sz w:val="32"/>
          <w:szCs w:val="32"/>
          <w:highlight w:val="none"/>
          <w:lang w:val="en-US" w:eastAsia="zh-CN"/>
        </w:rPr>
      </w:pPr>
      <w:r>
        <w:rPr>
          <w:rFonts w:hint="eastAsia" w:ascii="仿宋" w:hAnsi="仿宋" w:eastAsia="仿宋"/>
          <w:lang w:val="en-US" w:eastAsia="zh-CN"/>
        </w:rPr>
        <w:t xml:space="preserve">                  </w:t>
      </w:r>
      <w:r>
        <w:rPr>
          <w:rFonts w:hint="eastAsia" w:ascii="仿宋_GB2312" w:hAnsi="仿宋_GB2312" w:eastAsia="仿宋_GB2312" w:cs="仿宋_GB2312"/>
          <w:sz w:val="32"/>
          <w:szCs w:val="32"/>
          <w:highlight w:val="none"/>
          <w:lang w:val="en-US" w:eastAsia="zh-CN"/>
        </w:rPr>
        <w:t>元氏县机关事务服务中心</w:t>
      </w:r>
    </w:p>
    <w:p w14:paraId="7138CD63">
      <w:pPr>
        <w:keepNext w:val="0"/>
        <w:keepLines w:val="0"/>
        <w:pageBreakBefore w:val="0"/>
        <w:widowControl w:val="0"/>
        <w:shd w:val="clear" w:color="auto" w:fill="FFFFFF"/>
        <w:kinsoku/>
        <w:wordWrap/>
        <w:overflowPunct/>
        <w:topLinePunct w:val="0"/>
        <w:autoSpaceDE/>
        <w:autoSpaceDN/>
        <w:bidi w:val="0"/>
        <w:adjustRightInd/>
        <w:snapToGrid/>
        <w:spacing w:line="560" w:lineRule="exact"/>
        <w:ind w:firstLine="3840" w:firstLineChars="1200"/>
        <w:jc w:val="center"/>
        <w:textAlignment w:val="auto"/>
      </w:pPr>
      <w:r>
        <w:rPr>
          <w:rFonts w:hint="eastAsia" w:ascii="仿宋_GB2312" w:hAnsi="仿宋_GB2312" w:eastAsia="仿宋_GB2312" w:cs="仿宋_GB2312"/>
          <w:sz w:val="32"/>
          <w:szCs w:val="32"/>
          <w:highlight w:val="none"/>
          <w:lang w:val="en-US" w:eastAsia="zh-CN"/>
        </w:rPr>
        <w:t xml:space="preserve">  2026年4月1日</w:t>
      </w:r>
    </w:p>
    <w:p w14:paraId="39D81BC6">
      <w:pPr>
        <w:spacing w:line="560" w:lineRule="exact"/>
        <w:rPr>
          <w:rFonts w:hint="default" w:ascii="仿宋" w:hAnsi="仿宋" w:eastAsia="仿宋"/>
          <w:lang w:val="en-US" w:eastAsia="zh-CN"/>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DengXian-Regular">
    <w:altName w:val="yyb"/>
    <w:panose1 w:val="00000000000000000000"/>
    <w:charset w:val="00"/>
    <w:family w:val="auto"/>
    <w:pitch w:val="default"/>
    <w:sig w:usb0="00000000" w:usb1="00000000" w:usb2="00000010" w:usb3="00000000" w:csb0="00040001" w:csb1="00000000"/>
  </w:font>
  <w:font w:name="yyb">
    <w:panose1 w:val="020B0200000000000000"/>
    <w:charset w:val="86"/>
    <w:family w:val="auto"/>
    <w:pitch w:val="default"/>
    <w:sig w:usb0="20000083" w:usb1="10000000" w:usb2="00000016" w:usb3="00000000" w:csb0="60060107"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CBD74">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854770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854770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69CB5BD"/>
    <w:multiLevelType w:val="singleLevel"/>
    <w:tmpl w:val="269CB5BD"/>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3N2QwOWI2N2Q5ZmU1YTMxZGUxMDYwNjgxMDc5NjIifQ=="/>
  </w:docVars>
  <w:rsids>
    <w:rsidRoot w:val="0EBD2122"/>
    <w:rsid w:val="000B0260"/>
    <w:rsid w:val="00146E0E"/>
    <w:rsid w:val="002A2EDF"/>
    <w:rsid w:val="002E21B7"/>
    <w:rsid w:val="00665343"/>
    <w:rsid w:val="007E6C1F"/>
    <w:rsid w:val="00956A93"/>
    <w:rsid w:val="009E575C"/>
    <w:rsid w:val="009E6C7C"/>
    <w:rsid w:val="00AF167E"/>
    <w:rsid w:val="00AF566A"/>
    <w:rsid w:val="00B478EA"/>
    <w:rsid w:val="00B6553A"/>
    <w:rsid w:val="00BC6576"/>
    <w:rsid w:val="00C26563"/>
    <w:rsid w:val="00CE06BA"/>
    <w:rsid w:val="00F441CC"/>
    <w:rsid w:val="01B104CA"/>
    <w:rsid w:val="02106AB0"/>
    <w:rsid w:val="02B43A28"/>
    <w:rsid w:val="046F331E"/>
    <w:rsid w:val="069869C3"/>
    <w:rsid w:val="07956271"/>
    <w:rsid w:val="08145EE9"/>
    <w:rsid w:val="09354E8C"/>
    <w:rsid w:val="09721397"/>
    <w:rsid w:val="0BB63BED"/>
    <w:rsid w:val="0E0B0603"/>
    <w:rsid w:val="0EB97A43"/>
    <w:rsid w:val="0EBD2122"/>
    <w:rsid w:val="0F214EAE"/>
    <w:rsid w:val="10134CDE"/>
    <w:rsid w:val="10855BDB"/>
    <w:rsid w:val="11B71E6A"/>
    <w:rsid w:val="14117786"/>
    <w:rsid w:val="17685EE5"/>
    <w:rsid w:val="18F71640"/>
    <w:rsid w:val="1AAF0063"/>
    <w:rsid w:val="1B1A33C4"/>
    <w:rsid w:val="1BE140DE"/>
    <w:rsid w:val="1F3C47F5"/>
    <w:rsid w:val="21095B82"/>
    <w:rsid w:val="21BA145D"/>
    <w:rsid w:val="248C197D"/>
    <w:rsid w:val="249266C1"/>
    <w:rsid w:val="252959AF"/>
    <w:rsid w:val="25BF4D1C"/>
    <w:rsid w:val="277A6671"/>
    <w:rsid w:val="28905D3C"/>
    <w:rsid w:val="289B5FC5"/>
    <w:rsid w:val="292D35B7"/>
    <w:rsid w:val="300669AD"/>
    <w:rsid w:val="33EB6CFF"/>
    <w:rsid w:val="34062116"/>
    <w:rsid w:val="35A12947"/>
    <w:rsid w:val="35F02DE7"/>
    <w:rsid w:val="37387040"/>
    <w:rsid w:val="377A101B"/>
    <w:rsid w:val="37835EEE"/>
    <w:rsid w:val="393969E8"/>
    <w:rsid w:val="3B625C0A"/>
    <w:rsid w:val="3CEE1963"/>
    <w:rsid w:val="3D541655"/>
    <w:rsid w:val="4152091B"/>
    <w:rsid w:val="41995C81"/>
    <w:rsid w:val="41DC3590"/>
    <w:rsid w:val="436B78D3"/>
    <w:rsid w:val="47536A9D"/>
    <w:rsid w:val="4C9C27FE"/>
    <w:rsid w:val="512260B4"/>
    <w:rsid w:val="52BD6ACB"/>
    <w:rsid w:val="53C103D3"/>
    <w:rsid w:val="55537534"/>
    <w:rsid w:val="561A74F1"/>
    <w:rsid w:val="597244E8"/>
    <w:rsid w:val="5ADF6FCD"/>
    <w:rsid w:val="5D4D575F"/>
    <w:rsid w:val="5EB71C30"/>
    <w:rsid w:val="631F13F5"/>
    <w:rsid w:val="65766C5E"/>
    <w:rsid w:val="66AF0CE5"/>
    <w:rsid w:val="67AE2497"/>
    <w:rsid w:val="6AC537CF"/>
    <w:rsid w:val="6BEC358E"/>
    <w:rsid w:val="6E5B14A6"/>
    <w:rsid w:val="70553672"/>
    <w:rsid w:val="711B255E"/>
    <w:rsid w:val="734C0DB6"/>
    <w:rsid w:val="73880040"/>
    <w:rsid w:val="73A51D45"/>
    <w:rsid w:val="762F6E99"/>
    <w:rsid w:val="7AB62147"/>
    <w:rsid w:val="7AEC35AA"/>
    <w:rsid w:val="7BB51E06"/>
    <w:rsid w:val="7C387F7C"/>
    <w:rsid w:val="7E0C7AC0"/>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autoRedefine/>
    <w:qFormat/>
    <w:uiPriority w:val="9"/>
    <w:pPr>
      <w:keepNext/>
      <w:keepLines/>
      <w:spacing w:before="340" w:after="330" w:line="578" w:lineRule="auto"/>
      <w:outlineLvl w:val="0"/>
    </w:pPr>
    <w:rPr>
      <w:b/>
      <w:bCs/>
      <w:kern w:val="44"/>
      <w:sz w:val="44"/>
      <w:szCs w:val="44"/>
    </w:rPr>
  </w:style>
  <w:style w:type="character" w:default="1" w:styleId="9">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3">
    <w:name w:val="Plain Text"/>
    <w:basedOn w:val="1"/>
    <w:autoRedefine/>
    <w:qFormat/>
    <w:uiPriority w:val="0"/>
    <w:rPr>
      <w:rFonts w:ascii="宋体" w:hAnsi="Courier New" w:cs="Courier New"/>
    </w:r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index 9"/>
    <w:basedOn w:val="1"/>
    <w:next w:val="1"/>
    <w:autoRedefine/>
    <w:qFormat/>
    <w:uiPriority w:val="0"/>
    <w:pPr>
      <w:ind w:left="3360"/>
      <w:jc w:val="left"/>
    </w:pPr>
  </w:style>
  <w:style w:type="table" w:styleId="8">
    <w:name w:val="Table Grid"/>
    <w:autoRedefine/>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fontstyle01"/>
    <w:autoRedefine/>
    <w:qFormat/>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3421</Words>
  <Characters>3579</Characters>
  <Lines>4</Lines>
  <Paragraphs>1</Paragraphs>
  <TotalTime>5</TotalTime>
  <ScaleCrop>false</ScaleCrop>
  <LinksUpToDate>false</LinksUpToDate>
  <CharactersWithSpaces>3668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翊纥</cp:lastModifiedBy>
  <cp:lastPrinted>2026-04-01T00:52:49Z</cp:lastPrinted>
  <dcterms:modified xsi:type="dcterms:W3CDTF">2026-04-01T00:55:37Z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684C13FB5C6649519F66C9D070591CE2_13</vt:lpwstr>
  </property>
  <property fmtid="{D5CDD505-2E9C-101B-9397-08002B2CF9AE}" pid="4" name="KSOTemplateDocerSaveRecord">
    <vt:lpwstr>eyJoZGlkIjoiMTg3N2QwOWI2N2Q5ZmU1YTMxZGUxMDYwNjgxMDc5NjIiLCJ1c2VySWQiOiI1MjUxOTA4NjcifQ==</vt:lpwstr>
  </property>
</Properties>
</file>