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E0CCBE0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66EDF275"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元氏县交通运输局</w:t>
      </w:r>
    </w:p>
    <w:p w14:paraId="107D56C1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5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 w14:paraId="1CD37555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691982A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贯彻落实县委县政府《关于全面落实预算绩效管理的实施意见》（元发﹝2019﹞7号）文件精神，遵循“科学性、规范性、客观性和公正性”的原则，对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元氏县交通运输局</w:t>
      </w:r>
      <w:r>
        <w:rPr>
          <w:rFonts w:hint="eastAsia" w:ascii="仿宋" w:hAnsi="仿宋" w:eastAsia="仿宋"/>
          <w:sz w:val="32"/>
          <w:szCs w:val="32"/>
        </w:rPr>
        <w:t>部门202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 w14:paraId="6DD1D55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textAlignment w:val="auto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1E316C1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 w14:paraId="1BECD02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1．主要职能。</w:t>
      </w:r>
    </w:p>
    <w:p w14:paraId="764C6A9C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600" w:lineRule="exact"/>
        <w:ind w:firstLine="640" w:firstLineChars="200"/>
        <w:textAlignment w:val="auto"/>
        <w:rPr>
          <w:rFonts w:hint="eastAsia" w:ascii="仿宋" w:hAnsi="仿宋" w:eastAsia="仿宋"/>
          <w:kern w:val="1"/>
          <w:sz w:val="32"/>
          <w:szCs w:val="32"/>
        </w:rPr>
      </w:pPr>
      <w:r>
        <w:rPr>
          <w:rFonts w:hint="eastAsia" w:ascii="仿宋" w:hAnsi="仿宋" w:eastAsia="仿宋"/>
          <w:kern w:val="1"/>
          <w:sz w:val="32"/>
          <w:szCs w:val="32"/>
        </w:rPr>
        <w:t>贯彻执行国家、省、市有关交通运输行业的方针、政策和法律、法规，研究拟定全县交通运输行业发展战略，制定相关实施细则，并监督实施；承担全县综合运输体系的规划协调，会同有关部门组织编制全县综合运输体系规划；承担全县公路、水路交通建设市场、运输市场监管责任；负责全县交通运输系统的财务管理；负责全县交通运输专项资金的管理、使用和开发工作。负责行业内部审计工作。承办县政府交办的其他事项。</w:t>
      </w:r>
    </w:p>
    <w:p w14:paraId="2B5279A0"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napToGrid w:val="0"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机构情况，包括当年变动情况及原因。</w:t>
      </w:r>
    </w:p>
    <w:p w14:paraId="2306945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</w:t>
      </w:r>
      <w:r>
        <w:rPr>
          <w:rFonts w:hint="eastAsia" w:ascii="仿宋" w:hAnsi="仿宋" w:eastAsia="仿宋"/>
          <w:sz w:val="32"/>
          <w:szCs w:val="32"/>
        </w:rPr>
        <w:t>局机关及下属4个事业单位，4个事业单位为元氏县交通局运输管理站、元氏县公路管理站、元氏县公路路政管理站和元氏县交通局地方道路管理站。</w:t>
      </w:r>
    </w:p>
    <w:p w14:paraId="2FEBAFF6"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napToGrid w:val="0"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人员情况，包括当年变动情况及原因。</w:t>
      </w:r>
    </w:p>
    <w:p w14:paraId="4AEAD187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 w:val="0"/>
        <w:spacing w:line="600" w:lineRule="exact"/>
        <w:ind w:firstLine="640" w:firstLineChars="200"/>
        <w:textAlignment w:val="auto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局机关行政编制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实有人数12</w:t>
      </w:r>
      <w:r>
        <w:rPr>
          <w:rFonts w:hint="eastAsia" w:ascii="仿宋" w:hAnsi="仿宋" w:eastAsia="仿宋"/>
          <w:sz w:val="32"/>
          <w:szCs w:val="32"/>
        </w:rPr>
        <w:t>名，下属4个事业单位事业编制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实有人数</w:t>
      </w:r>
      <w:r>
        <w:rPr>
          <w:rFonts w:hint="eastAsia" w:ascii="仿宋" w:hAnsi="仿宋" w:eastAsia="仿宋"/>
          <w:sz w:val="32"/>
          <w:szCs w:val="32"/>
        </w:rPr>
        <w:t>共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174</w:t>
      </w:r>
      <w:r>
        <w:rPr>
          <w:rFonts w:hint="eastAsia" w:ascii="仿宋" w:hAnsi="仿宋" w:eastAsia="仿宋"/>
          <w:sz w:val="32"/>
          <w:szCs w:val="32"/>
        </w:rPr>
        <w:t>名。年末实有人数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186</w:t>
      </w:r>
      <w:r>
        <w:rPr>
          <w:rFonts w:hint="eastAsia" w:ascii="仿宋" w:hAnsi="仿宋" w:eastAsia="仿宋"/>
          <w:sz w:val="32"/>
          <w:szCs w:val="32"/>
        </w:rPr>
        <w:t>人，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与</w:t>
      </w:r>
      <w:r>
        <w:rPr>
          <w:rFonts w:hint="eastAsia" w:ascii="仿宋" w:hAnsi="仿宋" w:eastAsia="仿宋"/>
          <w:sz w:val="32"/>
          <w:szCs w:val="32"/>
        </w:rPr>
        <w:t>上年年末实有人数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持平。</w:t>
      </w:r>
    </w:p>
    <w:p w14:paraId="79A63EEB">
      <w:pPr>
        <w:keepNext w:val="0"/>
        <w:keepLines w:val="0"/>
        <w:pageBreakBefore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 w14:paraId="7452DA00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按照预算管理有关规定，目前我部门预算的编制实行综合预算管理，即全部收入和支出都反映在预算中。元氏县交通运输局机关及所属 4 个事业单位的收支包含在部门预算中。</w:t>
      </w:r>
    </w:p>
    <w:p w14:paraId="79D4D979">
      <w:pPr>
        <w:pStyle w:val="8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1、收入说明 </w:t>
      </w:r>
    </w:p>
    <w:p w14:paraId="4845632A">
      <w:pPr>
        <w:pStyle w:val="8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年预算收入总计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29117.41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万元，其中：一般公共预算拨款收入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23584.41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万元。政府性基金预算拨款收入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5533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万元。财政拨款结转结余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万元。</w:t>
      </w:r>
    </w:p>
    <w:p w14:paraId="1EE19870">
      <w:pPr>
        <w:pStyle w:val="8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2、支出说明 </w:t>
      </w:r>
    </w:p>
    <w:p w14:paraId="2A1574FE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2025年支出预算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29117.41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万元，其中基本支出1676.56万元，包括人员经费1523.33万元和日常公用经费153.23万元； 项目支出27440.85万元，主要为社会保障和就业支出482.89万元、节能环保支出301.06万元、城乡社区支出2300万元、交通运输支出20607.76万元、卫生健康支出63.18万元、住房保障支出89.72万元、灾害防治及应急管理支出2039.8万元、其他支出3233万元。</w:t>
      </w:r>
    </w:p>
    <w:p w14:paraId="7F933E4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 w14:paraId="5848C61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before="0" w:after="0" w:line="600" w:lineRule="exact"/>
        <w:ind w:firstLine="560"/>
        <w:jc w:val="left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（一）总体绩效目标</w:t>
      </w:r>
    </w:p>
    <w:p w14:paraId="7A982779">
      <w:pPr>
        <w:pStyle w:val="9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提出全县交通运输行业固定资产投资规模和方向，按县政府规定权限审批、核准县规划内和年度计划规模内的固定资产投资项目，完成交通基础设施投资，公路工程建设项目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资金拨付及时</w:t>
      </w:r>
      <w:r>
        <w:rPr>
          <w:rFonts w:hint="eastAsia" w:ascii="仿宋" w:hAnsi="仿宋" w:eastAsia="仿宋" w:cs="仿宋"/>
          <w:sz w:val="32"/>
          <w:szCs w:val="32"/>
        </w:rPr>
        <w:t>、质量合格率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95</w:t>
      </w:r>
      <w:r>
        <w:rPr>
          <w:rFonts w:hint="eastAsia" w:ascii="仿宋" w:hAnsi="仿宋" w:eastAsia="仿宋" w:cs="仿宋"/>
          <w:sz w:val="32"/>
          <w:szCs w:val="32"/>
        </w:rPr>
        <w:t>%以上，项目验收合格率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95</w:t>
      </w:r>
      <w:r>
        <w:rPr>
          <w:rFonts w:hint="eastAsia" w:ascii="仿宋" w:hAnsi="仿宋" w:eastAsia="仿宋" w:cs="仿宋"/>
          <w:sz w:val="32"/>
          <w:szCs w:val="32"/>
        </w:rPr>
        <w:t>%以上，公路养护和管理设施完好率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95</w:t>
      </w:r>
      <w:r>
        <w:rPr>
          <w:rFonts w:hint="eastAsia" w:ascii="仿宋" w:hAnsi="仿宋" w:eastAsia="仿宋" w:cs="仿宋"/>
          <w:sz w:val="32"/>
          <w:szCs w:val="32"/>
        </w:rPr>
        <w:t>%以上；对重点工程建设、工程质量和安全生产进行监督，对招投标活动进行监督管理。组织交通运输基础设施养护、维护，对全县公路及其设施的建设和养护进行管理；对全县交通运输市场进行监管，指导城乡客运及有关设施规划和管理，指导出租汽车行业管理。负责交通运输综合交通运输体系建设，路产维护管理完好率85%以上，综合业务管理和综合事务管理符合行业上级标准。</w:t>
      </w:r>
    </w:p>
    <w:p w14:paraId="24E27276">
      <w:pPr>
        <w:pStyle w:val="9"/>
        <w:keepNext w:val="0"/>
        <w:keepLines w:val="0"/>
        <w:pageBreakBefore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spacing w:line="600" w:lineRule="exac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交通运输基础设施建设。完成普通干线公路投资、农村公路建设投资。2、交通运输基础设施养护、维护。完成公路日常养护、路基路面专业养护、桥梁维修加固、安保及灾害防治、治理隐患、绿化等各项任务；完善路面清扫设备清扫效果提升。3、交通运输管理。保障道路畅通，完成运输生产任务，确保安全生产，提高服务保障水平；道路运输管理旅客周转量、公路货物周转量、水运客运周转量、交通运输统计、调查业务顺利开展。4、交通政务管理和其他工作任务。各项工作畅通，机关正常高效运转，应急事项处理及时，以交通污染防治、交通服务保障、深化供给侧结构性改革任务为重点，补齐基础设施短板，完善服务功能，提升运营管理效率，增加有效运输服务供给，加快建设现代化综合交通运输体系，全县交通运输事业创新发展、绿色发展、高质量发展。</w:t>
      </w:r>
    </w:p>
    <w:p w14:paraId="00B1FDB8">
      <w:pPr>
        <w:pStyle w:val="9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（二）分项绩效目标</w:t>
      </w:r>
    </w:p>
    <w:p w14:paraId="5301CEAA">
      <w:pPr>
        <w:pStyle w:val="10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确保交通基础设施建设市场运转有序，保证各项业务顺利开展，工作任务按时完成。</w:t>
      </w:r>
    </w:p>
    <w:p w14:paraId="4827B424">
      <w:pPr>
        <w:pStyle w:val="10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(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sz w:val="32"/>
          <w:szCs w:val="32"/>
        </w:rPr>
        <w:t>)、干线公路养护建设。</w:t>
      </w:r>
    </w:p>
    <w:p w14:paraId="5BFC43E3">
      <w:pPr>
        <w:pStyle w:val="10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、绩效目标：通过实施普通干线公路预防性养护、危桥改造、安保工程及沿线服务设施等专项养护，使得国省干线公路保障有力、安全畅通、保持良好的服务水平。干线公路大中修总投资完成上级下达任务，完成大中修、桥梁维修加固总投资；完成安保及灾害防治工程总投资；</w:t>
      </w:r>
    </w:p>
    <w:p w14:paraId="206581AF">
      <w:pPr>
        <w:pStyle w:val="10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2、绩效指标：安排公路专项养护不低于75公里，桥梁不低于31座，干线公路建设养护投资完成率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 w:cs="仿宋"/>
          <w:sz w:val="32"/>
          <w:szCs w:val="32"/>
        </w:rPr>
        <w:t>%、质量合格率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95</w:t>
      </w:r>
      <w:r>
        <w:rPr>
          <w:rFonts w:hint="eastAsia" w:ascii="仿宋" w:hAnsi="仿宋" w:eastAsia="仿宋" w:cs="仿宋"/>
          <w:sz w:val="32"/>
          <w:szCs w:val="32"/>
        </w:rPr>
        <w:t>%以上。</w:t>
      </w:r>
    </w:p>
    <w:p w14:paraId="0F316407">
      <w:pPr>
        <w:pStyle w:val="10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</w:rPr>
        <w:t>）、农村公路建设养护发展。1、绩效目标：努力恢复、提升农村公路原有基数指标，确保维护、完善交通工程、安全设施、服务管理等附属设施完好。2、绩效指标：设施完好率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95</w:t>
      </w:r>
      <w:r>
        <w:rPr>
          <w:rFonts w:hint="eastAsia" w:ascii="仿宋" w:hAnsi="仿宋" w:eastAsia="仿宋" w:cs="仿宋"/>
          <w:sz w:val="32"/>
          <w:szCs w:val="32"/>
        </w:rPr>
        <w:t>%以上，保持良好的技术状况和设计能力，农村公路建设养护发展能够改善交通状况影响时间、便携群众出行、方便货物运输，服务对象满意度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 w:cs="仿宋"/>
          <w:sz w:val="32"/>
          <w:szCs w:val="32"/>
        </w:rPr>
        <w:t>0%。</w:t>
      </w:r>
    </w:p>
    <w:p w14:paraId="38FCBB09">
      <w:pPr>
        <w:pStyle w:val="10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)、运输管理和安全。</w:t>
      </w:r>
    </w:p>
    <w:p w14:paraId="6A867BA0">
      <w:pPr>
        <w:pStyle w:val="10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1、绩效目标：采取有效措施提高公路运行能力，缓解繁忙路段交通压力；必须维护路产路权，坚决治理超限运输，保障公路通行能力，提高运输服务水平，道路运输管理、旅客周转量 、公路货物周转量、交通运输事业发展实际完成率、质量达标率、完成即时率达到年度工作要求。</w:t>
      </w:r>
    </w:p>
    <w:p w14:paraId="5E9AE9D6">
      <w:pPr>
        <w:pStyle w:val="10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2、绩效指标：提高安全意识，加大安全设施投资，投资完成率、质量合格率达到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95</w:t>
      </w:r>
      <w:r>
        <w:rPr>
          <w:rFonts w:hint="eastAsia" w:ascii="仿宋" w:hAnsi="仿宋" w:eastAsia="仿宋" w:cs="仿宋"/>
          <w:sz w:val="32"/>
          <w:szCs w:val="32"/>
        </w:rPr>
        <w:t xml:space="preserve">%以上，加强运输行业安全培训和执法力度，实施源头监管，确保不发生重大安全责任事故。城市客运管理业务顺利开展，按时完成工作。并保障行业安全稳定。     </w:t>
      </w:r>
    </w:p>
    <w:p w14:paraId="5BD81113">
      <w:pPr>
        <w:pStyle w:val="10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（四）、综合管理、交通政务及其他工作有序开展。</w:t>
      </w:r>
    </w:p>
    <w:p w14:paraId="24AF0687">
      <w:pPr>
        <w:pStyle w:val="10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1、绩效目标：交通运输统计、调查业务、上级交办的其他任务顺利开展，按时完成工作任务，数据科学准确、各项任务圆满完成。</w:t>
      </w:r>
    </w:p>
    <w:p w14:paraId="595010A3">
      <w:pPr>
        <w:pStyle w:val="10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2、绩效指标：加强管理，数据完善率85%，圆满完成县委、县政府交办任务力争受到领导和群众的好评群众满意度达到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95</w:t>
      </w:r>
      <w:r>
        <w:rPr>
          <w:rFonts w:hint="eastAsia" w:ascii="仿宋" w:hAnsi="仿宋" w:eastAsia="仿宋" w:cs="仿宋"/>
          <w:sz w:val="32"/>
          <w:szCs w:val="32"/>
        </w:rPr>
        <w:t>%以上。</w:t>
      </w:r>
    </w:p>
    <w:p w14:paraId="4B364BF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330DC7B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textAlignment w:val="auto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 w14:paraId="0C2B3A4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 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  <w:t>我局采取切实有效的工作保障措施，科学确定总体绩效目标和分项绩效目标，加强预算绩效管理，做好绩效自评和整体评价。</w:t>
      </w:r>
    </w:p>
    <w:p w14:paraId="0265CF9F">
      <w:pPr>
        <w:keepNext w:val="0"/>
        <w:keepLines w:val="0"/>
        <w:pageBreakBefore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spacing w:line="600" w:lineRule="exact"/>
        <w:textAlignment w:val="auto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 w14:paraId="78F61AC2">
      <w:pPr>
        <w:keepNext w:val="0"/>
        <w:keepLines w:val="0"/>
        <w:pageBreakBefore w:val="0"/>
        <w:numPr>
          <w:ilvl w:val="0"/>
          <w:numId w:val="5"/>
        </w:numPr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  <w:t>完善制度建设。在局党组的坚强领导下，制定预算绩效管理有关制度办法、完善财务管理规定，建立健全绩效评价机构，科学确定绩效目标，客观评价年度完成情况。</w:t>
      </w:r>
    </w:p>
    <w:p w14:paraId="34D502A9">
      <w:pPr>
        <w:keepNext w:val="0"/>
        <w:keepLines w:val="0"/>
        <w:pageBreakBefore w:val="0"/>
        <w:numPr>
          <w:ilvl w:val="0"/>
          <w:numId w:val="5"/>
        </w:numPr>
        <w:kinsoku/>
        <w:wordWrap/>
        <w:overflowPunct/>
        <w:topLinePunct w:val="0"/>
        <w:autoSpaceDE/>
        <w:autoSpaceDN/>
        <w:bidi w:val="0"/>
        <w:spacing w:line="600" w:lineRule="exact"/>
        <w:ind w:left="0" w:leftChars="0" w:firstLine="640" w:firstLineChars="200"/>
        <w:jc w:val="left"/>
        <w:textAlignment w:val="auto"/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  <w:t>加强支出和绩效管理。优化支出结构、编细编实预算，及早履行相关手续、尽快启动项目、及时支付资金、确保支出进度，提高财政资金使用效益。</w:t>
      </w:r>
    </w:p>
    <w:p w14:paraId="0484DA43">
      <w:pPr>
        <w:keepNext w:val="0"/>
        <w:keepLines w:val="0"/>
        <w:pageBreakBefore w:val="0"/>
        <w:numPr>
          <w:ilvl w:val="0"/>
          <w:numId w:val="5"/>
        </w:numPr>
        <w:kinsoku/>
        <w:wordWrap/>
        <w:overflowPunct/>
        <w:topLinePunct w:val="0"/>
        <w:autoSpaceDE/>
        <w:autoSpaceDN/>
        <w:bidi w:val="0"/>
        <w:spacing w:line="600" w:lineRule="exact"/>
        <w:ind w:left="0" w:leftChars="0" w:firstLine="640" w:firstLineChars="200"/>
        <w:jc w:val="left"/>
        <w:textAlignment w:val="auto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  <w:t>规范资金使用、加强资产管理。规范财政资金使用效益，依法理财，加强预算资金事前、事中、事后的全方位监管，注重资金支出绩效，最大限额的发挥财政资金效益。完善财务管理制度，严格审批程序。搞好资产管理，改进工作方法，提升管理能力。加强国定资产登记、使用和报废处置管理。</w:t>
      </w:r>
    </w:p>
    <w:p w14:paraId="6FAE212D">
      <w:pPr>
        <w:keepNext w:val="0"/>
        <w:keepLines w:val="0"/>
        <w:pageBreakBefore w:val="0"/>
        <w:numPr>
          <w:ilvl w:val="0"/>
          <w:numId w:val="5"/>
        </w:numPr>
        <w:kinsoku/>
        <w:wordWrap/>
        <w:overflowPunct/>
        <w:topLinePunct w:val="0"/>
        <w:autoSpaceDE/>
        <w:autoSpaceDN/>
        <w:bidi w:val="0"/>
        <w:spacing w:line="600" w:lineRule="exact"/>
        <w:ind w:left="0" w:leftChars="0" w:firstLine="640" w:firstLineChars="200"/>
        <w:jc w:val="left"/>
        <w:textAlignment w:val="auto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  <w:t>加强宣传引导。加强业务培训，完善继续教育，使得交通运输部门干部、职工牢固树立绩效观念，及时总结我局预算绩效管理经验。</w:t>
      </w:r>
    </w:p>
    <w:p w14:paraId="07A1A80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textAlignment w:val="auto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 w14:paraId="7B2C3C47">
      <w:pPr>
        <w:keepNext w:val="0"/>
        <w:keepLines w:val="0"/>
        <w:pageBreakBefore w:val="0"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textAlignment w:val="auto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 w14:paraId="7122CBF8">
      <w:pPr>
        <w:keepNext w:val="0"/>
        <w:keepLines w:val="0"/>
        <w:pageBreakBefore w:val="0"/>
        <w:numPr>
          <w:ilvl w:val="0"/>
          <w:numId w:val="7"/>
        </w:numPr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交通运输基础设施建设。完成普通干线公路投资、农村公路建设投资。</w:t>
      </w:r>
    </w:p>
    <w:p w14:paraId="5447C5DE">
      <w:pPr>
        <w:keepNext w:val="0"/>
        <w:keepLines w:val="0"/>
        <w:pageBreakBefore w:val="0"/>
        <w:numPr>
          <w:ilvl w:val="0"/>
          <w:numId w:val="7"/>
        </w:numPr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、交通运输基础设施养护、维护。完成公路日常养护、路基路面专业养护、桥梁维修加固、安保及灾害防治、治理隐患、绿化等各项任务；完善路面清扫设备清扫效果提升。</w:t>
      </w:r>
    </w:p>
    <w:p w14:paraId="2E3A1976">
      <w:pPr>
        <w:keepNext w:val="0"/>
        <w:keepLines w:val="0"/>
        <w:pageBreakBefore w:val="0"/>
        <w:numPr>
          <w:ilvl w:val="0"/>
          <w:numId w:val="7"/>
        </w:numPr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、交通运输管理。保障道路畅通，完成运输生产任务，确保安全生产，提高服务保障水平；道路运输管理旅客周转量、公路货物周转量、水运客运周转量、交通运输统计、调查业务顺利开展。</w:t>
      </w:r>
    </w:p>
    <w:p w14:paraId="4137D76F">
      <w:pPr>
        <w:keepNext w:val="0"/>
        <w:keepLines w:val="0"/>
        <w:pageBreakBefore w:val="0"/>
        <w:numPr>
          <w:ilvl w:val="0"/>
          <w:numId w:val="7"/>
        </w:numPr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、交通政务管理和其他工作任务。各项工作畅通，机关正常高效运转，应急事项处理及时，以交通污染防治、交通服务保障、深化供给侧结构性改革任务为重点，补齐基础设施短板，完善服务功能，提升运营管理效率，增加有效运输服务供给，加快建设现代化综合交通运输体系，全县交通运输事业创新发展、绿色发展、高质量发展。</w:t>
      </w:r>
    </w:p>
    <w:p w14:paraId="0DD0C5A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ind w:firstLine="320" w:firstLineChars="100"/>
        <w:textAlignment w:val="auto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 w14:paraId="08B9155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提出全县交通运输行业固定资产投资规模和方向，按县政府规定权限审批、核准县规划内和年度计划规模内的固定资产投资项目，完成交通基础设施投资，公路工程建设项目资金拨付及时、质量合格率95%以上，项目验收合格率95%以上，公路养护和管理设施完好率95%以上；对重点工程建设、工程质量和安全生产进行监督，对招投标活动进行监督管理。组织交通运输基础设施养护、维护，对全县公路及其设施的建设和养护进行管理；对全县交通运输市场进行监管，指导城乡客运及有关设施规划和管理，指导出租汽车行业管理。负责交通运输综合交通运输体系建设，路产维护管理完好率85%以上，</w:t>
      </w:r>
      <w:r>
        <w:rPr>
          <w:rFonts w:hint="eastAsia" w:ascii="仿宋" w:hAnsi="仿宋" w:eastAsia="仿宋" w:cs="仿宋"/>
          <w:sz w:val="32"/>
          <w:szCs w:val="32"/>
        </w:rPr>
        <w:t>群众满意度达到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95</w:t>
      </w:r>
      <w:r>
        <w:rPr>
          <w:rFonts w:hint="eastAsia" w:ascii="仿宋" w:hAnsi="仿宋" w:eastAsia="仿宋" w:cs="仿宋"/>
          <w:sz w:val="32"/>
          <w:szCs w:val="32"/>
        </w:rPr>
        <w:t>%以上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综合业务管理和综合事务管理符合行业上级标准。全年基本完成2025年总体绩效。</w:t>
      </w:r>
    </w:p>
    <w:p w14:paraId="01293B4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03F35AE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根据部门职责定位和各项工作履职情况进行综合评价</w:t>
      </w:r>
      <w:r>
        <w:rPr>
          <w:rFonts w:hint="eastAsia" w:ascii="仿宋" w:hAnsi="仿宋" w:eastAsia="仿宋"/>
          <w:sz w:val="32"/>
          <w:szCs w:val="32"/>
          <w:lang w:eastAsia="zh-CN"/>
        </w:rPr>
        <w:t>我部门</w:t>
      </w:r>
      <w:r>
        <w:rPr>
          <w:rFonts w:hint="eastAsia" w:ascii="仿宋" w:hAnsi="仿宋" w:eastAsia="仿宋"/>
          <w:sz w:val="32"/>
          <w:szCs w:val="32"/>
        </w:rPr>
        <w:t>总得分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95</w:t>
      </w:r>
      <w:r>
        <w:rPr>
          <w:rFonts w:hint="eastAsia" w:ascii="仿宋" w:hAnsi="仿宋" w:eastAsia="仿宋"/>
          <w:sz w:val="32"/>
          <w:szCs w:val="32"/>
        </w:rPr>
        <w:t>分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/>
          <w:sz w:val="32"/>
          <w:szCs w:val="32"/>
        </w:rPr>
        <w:t>部门整体支出综合绩效评价为优秀。</w:t>
      </w:r>
    </w:p>
    <w:p w14:paraId="5F05179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4E3F25C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textAlignment w:val="auto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 w14:paraId="516B22D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textAlignment w:val="auto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  <w:t>无此情况。</w:t>
      </w:r>
    </w:p>
    <w:p w14:paraId="016CCBA6">
      <w:pPr>
        <w:keepNext w:val="0"/>
        <w:keepLines w:val="0"/>
        <w:pageBreakBefore w:val="0"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spacing w:line="600" w:lineRule="exact"/>
        <w:ind w:left="0" w:leftChars="0" w:firstLine="640" w:firstLineChars="200"/>
        <w:textAlignment w:val="auto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针对问题提出具体的改进措施或建议</w:t>
      </w:r>
    </w:p>
    <w:p w14:paraId="0271EEF4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600" w:lineRule="exact"/>
        <w:ind w:leftChars="200"/>
        <w:textAlignment w:val="auto"/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/>
          <w:bCs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  <w:t>无建议。</w:t>
      </w:r>
    </w:p>
    <w:p w14:paraId="78F691B6">
      <w:pPr>
        <w:adjustRightInd w:val="0"/>
        <w:snapToGrid w:val="0"/>
        <w:spacing w:line="560" w:lineRule="exact"/>
        <w:ind w:firstLine="640" w:firstLineChars="200"/>
        <w:rPr>
          <w:rFonts w:hint="default" w:ascii="黑体" w:hAnsi="黑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  <w:bookmarkStart w:id="0" w:name="_GoBack"/>
      <w:bookmarkEnd w:id="0"/>
    </w:p>
    <w:tbl>
      <w:tblPr>
        <w:tblStyle w:val="6"/>
        <w:tblpPr w:leftFromText="180" w:rightFromText="180" w:vertAnchor="text" w:horzAnchor="page" w:tblpX="1710" w:tblpY="251"/>
        <w:tblOverlap w:val="never"/>
        <w:tblW w:w="863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88"/>
        <w:gridCol w:w="2114"/>
        <w:gridCol w:w="1452"/>
        <w:gridCol w:w="1892"/>
        <w:gridCol w:w="1892"/>
      </w:tblGrid>
      <w:tr w14:paraId="75DFC0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1288" w:type="dxa"/>
          </w:tcPr>
          <w:p w14:paraId="513DED4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eastAsia="宋体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姓名</w:t>
            </w:r>
          </w:p>
        </w:tc>
        <w:tc>
          <w:tcPr>
            <w:tcW w:w="2114" w:type="dxa"/>
          </w:tcPr>
          <w:p w14:paraId="1A389D2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eastAsia="宋体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工作单位</w:t>
            </w:r>
          </w:p>
        </w:tc>
        <w:tc>
          <w:tcPr>
            <w:tcW w:w="1452" w:type="dxa"/>
          </w:tcPr>
          <w:p w14:paraId="3DD0777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eastAsia="宋体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职务</w:t>
            </w:r>
          </w:p>
        </w:tc>
        <w:tc>
          <w:tcPr>
            <w:tcW w:w="1892" w:type="dxa"/>
          </w:tcPr>
          <w:p w14:paraId="3F5E6C9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eastAsia="宋体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职称</w:t>
            </w:r>
          </w:p>
        </w:tc>
        <w:tc>
          <w:tcPr>
            <w:tcW w:w="1892" w:type="dxa"/>
          </w:tcPr>
          <w:p w14:paraId="23023BF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签名</w:t>
            </w:r>
          </w:p>
        </w:tc>
      </w:tr>
      <w:tr w14:paraId="334049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1288" w:type="dxa"/>
          </w:tcPr>
          <w:p w14:paraId="4C14597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于海宝</w:t>
            </w:r>
          </w:p>
        </w:tc>
        <w:tc>
          <w:tcPr>
            <w:tcW w:w="2114" w:type="dxa"/>
          </w:tcPr>
          <w:p w14:paraId="0007A7D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  <w:t>元氏县交通运输局</w:t>
            </w:r>
          </w:p>
        </w:tc>
        <w:tc>
          <w:tcPr>
            <w:tcW w:w="1452" w:type="dxa"/>
          </w:tcPr>
          <w:p w14:paraId="0B05344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  <w:t>局长</w:t>
            </w:r>
          </w:p>
        </w:tc>
        <w:tc>
          <w:tcPr>
            <w:tcW w:w="1892" w:type="dxa"/>
          </w:tcPr>
          <w:p w14:paraId="3259284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eastAsia" w:ascii="仿宋_GB2312" w:hAnsi="仿宋_GB2312" w:eastAsia="仿宋_GB2312" w:cs="仿宋_GB2312"/>
                <w:vertAlign w:val="baseline"/>
              </w:rPr>
            </w:pPr>
          </w:p>
        </w:tc>
        <w:tc>
          <w:tcPr>
            <w:tcW w:w="1892" w:type="dxa"/>
          </w:tcPr>
          <w:p w14:paraId="15ACF52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eastAsia" w:ascii="仿宋_GB2312" w:hAnsi="仿宋_GB2312" w:eastAsia="仿宋_GB2312" w:cs="仿宋_GB2312"/>
                <w:vertAlign w:val="baseline"/>
              </w:rPr>
            </w:pPr>
          </w:p>
        </w:tc>
      </w:tr>
      <w:tr w14:paraId="319C50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1288" w:type="dxa"/>
          </w:tcPr>
          <w:p w14:paraId="33A92C0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  <w:t>葛会彦</w:t>
            </w:r>
          </w:p>
        </w:tc>
        <w:tc>
          <w:tcPr>
            <w:tcW w:w="2114" w:type="dxa"/>
          </w:tcPr>
          <w:p w14:paraId="49623E9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eastAsia" w:ascii="仿宋_GB2312" w:hAnsi="仿宋_GB2312" w:eastAsia="仿宋_GB2312" w:cs="仿宋_GB2312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  <w:t>元氏县交通运输局</w:t>
            </w:r>
          </w:p>
        </w:tc>
        <w:tc>
          <w:tcPr>
            <w:tcW w:w="1452" w:type="dxa"/>
          </w:tcPr>
          <w:p w14:paraId="4D136A3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  <w:t>副局长</w:t>
            </w:r>
          </w:p>
        </w:tc>
        <w:tc>
          <w:tcPr>
            <w:tcW w:w="1892" w:type="dxa"/>
          </w:tcPr>
          <w:p w14:paraId="62258AB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eastAsia" w:ascii="仿宋_GB2312" w:hAnsi="仿宋_GB2312" w:eastAsia="仿宋_GB2312" w:cs="仿宋_GB2312"/>
                <w:vertAlign w:val="baseline"/>
              </w:rPr>
            </w:pPr>
          </w:p>
        </w:tc>
        <w:tc>
          <w:tcPr>
            <w:tcW w:w="1892" w:type="dxa"/>
          </w:tcPr>
          <w:p w14:paraId="408AB10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eastAsia" w:ascii="仿宋_GB2312" w:hAnsi="仿宋_GB2312" w:eastAsia="仿宋_GB2312" w:cs="仿宋_GB2312"/>
                <w:vertAlign w:val="baseline"/>
              </w:rPr>
            </w:pPr>
          </w:p>
        </w:tc>
      </w:tr>
      <w:tr w14:paraId="4A5898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1288" w:type="dxa"/>
          </w:tcPr>
          <w:p w14:paraId="6755812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  <w:t>陈晓光</w:t>
            </w:r>
          </w:p>
        </w:tc>
        <w:tc>
          <w:tcPr>
            <w:tcW w:w="2114" w:type="dxa"/>
          </w:tcPr>
          <w:p w14:paraId="233113F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eastAsia" w:ascii="仿宋_GB2312" w:hAnsi="仿宋_GB2312" w:eastAsia="仿宋_GB2312" w:cs="仿宋_GB2312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  <w:t>元氏县交通运输局</w:t>
            </w:r>
          </w:p>
        </w:tc>
        <w:tc>
          <w:tcPr>
            <w:tcW w:w="1452" w:type="dxa"/>
          </w:tcPr>
          <w:p w14:paraId="17E6E79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  <w:t>副局长</w:t>
            </w:r>
          </w:p>
        </w:tc>
        <w:tc>
          <w:tcPr>
            <w:tcW w:w="1892" w:type="dxa"/>
          </w:tcPr>
          <w:p w14:paraId="135F370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eastAsia" w:ascii="仿宋_GB2312" w:hAnsi="仿宋_GB2312" w:eastAsia="仿宋_GB2312" w:cs="仿宋_GB2312"/>
                <w:vertAlign w:val="baseline"/>
              </w:rPr>
            </w:pPr>
          </w:p>
        </w:tc>
        <w:tc>
          <w:tcPr>
            <w:tcW w:w="1892" w:type="dxa"/>
          </w:tcPr>
          <w:p w14:paraId="063EB11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eastAsia" w:ascii="仿宋_GB2312" w:hAnsi="仿宋_GB2312" w:eastAsia="仿宋_GB2312" w:cs="仿宋_GB2312"/>
                <w:vertAlign w:val="baseline"/>
              </w:rPr>
            </w:pPr>
          </w:p>
        </w:tc>
      </w:tr>
      <w:tr w14:paraId="74AA25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</w:trPr>
        <w:tc>
          <w:tcPr>
            <w:tcW w:w="1288" w:type="dxa"/>
          </w:tcPr>
          <w:p w14:paraId="6D68424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  <w:t>陈铁军</w:t>
            </w:r>
          </w:p>
        </w:tc>
        <w:tc>
          <w:tcPr>
            <w:tcW w:w="2114" w:type="dxa"/>
          </w:tcPr>
          <w:p w14:paraId="161624C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eastAsia" w:ascii="仿宋_GB2312" w:hAnsi="仿宋_GB2312" w:eastAsia="仿宋_GB2312" w:cs="仿宋_GB2312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  <w:t>元氏县交通运输局</w:t>
            </w:r>
          </w:p>
        </w:tc>
        <w:tc>
          <w:tcPr>
            <w:tcW w:w="1452" w:type="dxa"/>
          </w:tcPr>
          <w:p w14:paraId="77904F8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  <w:t>办公室主任</w:t>
            </w:r>
          </w:p>
        </w:tc>
        <w:tc>
          <w:tcPr>
            <w:tcW w:w="1892" w:type="dxa"/>
          </w:tcPr>
          <w:p w14:paraId="117C46B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eastAsia" w:ascii="仿宋_GB2312" w:hAnsi="仿宋_GB2312" w:eastAsia="仿宋_GB2312" w:cs="仿宋_GB2312"/>
                <w:vertAlign w:val="baseline"/>
              </w:rPr>
            </w:pPr>
          </w:p>
        </w:tc>
        <w:tc>
          <w:tcPr>
            <w:tcW w:w="1892" w:type="dxa"/>
          </w:tcPr>
          <w:p w14:paraId="11EBA27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eastAsia" w:ascii="仿宋_GB2312" w:hAnsi="仿宋_GB2312" w:eastAsia="仿宋_GB2312" w:cs="仿宋_GB2312"/>
                <w:vertAlign w:val="baseline"/>
              </w:rPr>
            </w:pPr>
          </w:p>
        </w:tc>
      </w:tr>
      <w:tr w14:paraId="180367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</w:trPr>
        <w:tc>
          <w:tcPr>
            <w:tcW w:w="1288" w:type="dxa"/>
          </w:tcPr>
          <w:p w14:paraId="3D2FDA3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  <w:t>张鹏飞</w:t>
            </w:r>
          </w:p>
        </w:tc>
        <w:tc>
          <w:tcPr>
            <w:tcW w:w="2114" w:type="dxa"/>
          </w:tcPr>
          <w:p w14:paraId="6C98EE1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eastAsia" w:ascii="仿宋_GB2312" w:hAnsi="仿宋_GB2312" w:eastAsia="仿宋_GB2312" w:cs="仿宋_GB2312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  <w:t>元氏县交通运输局</w:t>
            </w:r>
          </w:p>
        </w:tc>
        <w:tc>
          <w:tcPr>
            <w:tcW w:w="1452" w:type="dxa"/>
          </w:tcPr>
          <w:p w14:paraId="7B99192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  <w:t>财务股股长</w:t>
            </w:r>
          </w:p>
        </w:tc>
        <w:tc>
          <w:tcPr>
            <w:tcW w:w="1892" w:type="dxa"/>
          </w:tcPr>
          <w:p w14:paraId="304150E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eastAsia" w:ascii="仿宋_GB2312" w:hAnsi="仿宋_GB2312" w:eastAsia="仿宋_GB2312" w:cs="仿宋_GB2312"/>
                <w:vertAlign w:val="baseline"/>
              </w:rPr>
            </w:pPr>
          </w:p>
        </w:tc>
        <w:tc>
          <w:tcPr>
            <w:tcW w:w="1892" w:type="dxa"/>
          </w:tcPr>
          <w:p w14:paraId="5171A81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eastAsia" w:ascii="仿宋_GB2312" w:hAnsi="仿宋_GB2312" w:eastAsia="仿宋_GB2312" w:cs="仿宋_GB2312"/>
                <w:vertAlign w:val="baseline"/>
              </w:rPr>
            </w:pPr>
          </w:p>
        </w:tc>
      </w:tr>
    </w:tbl>
    <w:p w14:paraId="45036AF2">
      <w:pPr>
        <w:spacing w:line="560" w:lineRule="exact"/>
        <w:rPr>
          <w:rFonts w:hint="eastAsia" w:ascii="仿宋_GB2312" w:hAnsi="仿宋_GB2312" w:eastAsia="仿宋_GB2312" w:cs="仿宋_GB2312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华文楷体">
    <w:altName w:val="楷体_GB2312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D8245D7">
    <w:pPr>
      <w:pStyle w:val="3"/>
    </w:pPr>
    <w: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 w14:paraId="252419C3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- 2 -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98260A7"/>
    <w:multiLevelType w:val="singleLevel"/>
    <w:tmpl w:val="898260A7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AB8459B2"/>
    <w:multiLevelType w:val="singleLevel"/>
    <w:tmpl w:val="AB8459B2"/>
    <w:lvl w:ilvl="0" w:tentative="0">
      <w:start w:val="1"/>
      <w:numFmt w:val="decimal"/>
      <w:suff w:val="nothing"/>
      <w:lvlText w:val="%1、"/>
      <w:lvlJc w:val="left"/>
    </w:lvl>
  </w:abstractNum>
  <w:abstractNum w:abstractNumId="2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3">
    <w:nsid w:val="140D3AD3"/>
    <w:multiLevelType w:val="singleLevel"/>
    <w:tmpl w:val="140D3AD3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4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abstractNum w:abstractNumId="5">
    <w:nsid w:val="71CD58BD"/>
    <w:multiLevelType w:val="singleLevel"/>
    <w:tmpl w:val="71CD58BD"/>
    <w:lvl w:ilvl="0" w:tentative="0">
      <w:start w:val="2"/>
      <w:numFmt w:val="decimal"/>
      <w:suff w:val="nothing"/>
      <w:lvlText w:val="%1．"/>
      <w:lvlJc w:val="left"/>
    </w:lvl>
  </w:abstractNum>
  <w:abstractNum w:abstractNumId="6">
    <w:nsid w:val="7C00E81F"/>
    <w:multiLevelType w:val="singleLevel"/>
    <w:tmpl w:val="7C00E81F"/>
    <w:lvl w:ilvl="0" w:tentative="0">
      <w:start w:val="1"/>
      <w:numFmt w:val="decimal"/>
      <w:suff w:val="nothing"/>
      <w:lvlText w:val="（%1）"/>
      <w:lvlJc w:val="left"/>
    </w:lvl>
  </w:abstractNum>
  <w:num w:numId="1">
    <w:abstractNumId w:val="5"/>
  </w:num>
  <w:num w:numId="2">
    <w:abstractNumId w:val="3"/>
  </w:num>
  <w:num w:numId="3">
    <w:abstractNumId w:val="0"/>
  </w:num>
  <w:num w:numId="4">
    <w:abstractNumId w:val="2"/>
  </w:num>
  <w:num w:numId="5">
    <w:abstractNumId w:val="1"/>
  </w:num>
  <w:num w:numId="6">
    <w:abstractNumId w:val="4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zgxMzVhZTBlNDUyZWUxNDVhMjNkN2E1NjFlOTE5NDcifQ=="/>
  </w:docVars>
  <w:rsids>
    <w:rsidRoot w:val="0EBD2122"/>
    <w:rsid w:val="000B0260"/>
    <w:rsid w:val="00146E0E"/>
    <w:rsid w:val="00330228"/>
    <w:rsid w:val="00384A26"/>
    <w:rsid w:val="003D62B9"/>
    <w:rsid w:val="00665343"/>
    <w:rsid w:val="007267F3"/>
    <w:rsid w:val="00773795"/>
    <w:rsid w:val="007E6C1F"/>
    <w:rsid w:val="00956A93"/>
    <w:rsid w:val="009E575C"/>
    <w:rsid w:val="009E6C7C"/>
    <w:rsid w:val="00AF167E"/>
    <w:rsid w:val="00AF566A"/>
    <w:rsid w:val="00B478EA"/>
    <w:rsid w:val="00B6553A"/>
    <w:rsid w:val="00BC6576"/>
    <w:rsid w:val="00C75712"/>
    <w:rsid w:val="00CE06BA"/>
    <w:rsid w:val="00CE3FAD"/>
    <w:rsid w:val="00D1126E"/>
    <w:rsid w:val="00EB47BA"/>
    <w:rsid w:val="00F441CC"/>
    <w:rsid w:val="01B104CA"/>
    <w:rsid w:val="02106AB0"/>
    <w:rsid w:val="02B43A28"/>
    <w:rsid w:val="046F331E"/>
    <w:rsid w:val="07956271"/>
    <w:rsid w:val="09721397"/>
    <w:rsid w:val="0BB63BED"/>
    <w:rsid w:val="0EB97A43"/>
    <w:rsid w:val="0EBD2122"/>
    <w:rsid w:val="0F214EAE"/>
    <w:rsid w:val="11B71E6A"/>
    <w:rsid w:val="14D61C49"/>
    <w:rsid w:val="15E74C42"/>
    <w:rsid w:val="196C21B5"/>
    <w:rsid w:val="1AAF0063"/>
    <w:rsid w:val="1BE140DE"/>
    <w:rsid w:val="248C197D"/>
    <w:rsid w:val="252959AF"/>
    <w:rsid w:val="277A6671"/>
    <w:rsid w:val="292D35B7"/>
    <w:rsid w:val="33EB6CFF"/>
    <w:rsid w:val="35A12947"/>
    <w:rsid w:val="37387040"/>
    <w:rsid w:val="3B625C0A"/>
    <w:rsid w:val="3CEE1963"/>
    <w:rsid w:val="43695CA4"/>
    <w:rsid w:val="436B78D3"/>
    <w:rsid w:val="4C9C27FE"/>
    <w:rsid w:val="512260B4"/>
    <w:rsid w:val="52BD6ACB"/>
    <w:rsid w:val="53C358B3"/>
    <w:rsid w:val="55537534"/>
    <w:rsid w:val="561A74F1"/>
    <w:rsid w:val="597244E8"/>
    <w:rsid w:val="5EB71C30"/>
    <w:rsid w:val="5F9162BC"/>
    <w:rsid w:val="66AF0CE5"/>
    <w:rsid w:val="6AC537CF"/>
    <w:rsid w:val="6E5B14A6"/>
    <w:rsid w:val="711B255E"/>
    <w:rsid w:val="72A9065D"/>
    <w:rsid w:val="74C3785B"/>
    <w:rsid w:val="7BB51E06"/>
    <w:rsid w:val="7C387F7C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8">
    <w:name w:val="插入文本样式-插入预算公开部门预算安排的总体情况文件"/>
    <w:basedOn w:val="1"/>
    <w:autoRedefine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9">
    <w:name w:val="插入文本样式-插入总体目标文件"/>
    <w:basedOn w:val="1"/>
    <w:autoRedefine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0">
    <w:name w:val="插入文本样式-插入职责分类绩效目标文件"/>
    <w:basedOn w:val="1"/>
    <w:autoRedefine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3496</Words>
  <Characters>3642</Characters>
  <Lines>4</Lines>
  <Paragraphs>1</Paragraphs>
  <TotalTime>0</TotalTime>
  <ScaleCrop>false</ScaleCrop>
  <LinksUpToDate>false</LinksUpToDate>
  <CharactersWithSpaces>3674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婷婷</cp:lastModifiedBy>
  <cp:lastPrinted>2024-03-06T07:40:00Z</cp:lastPrinted>
  <dcterms:modified xsi:type="dcterms:W3CDTF">2026-04-20T03:05:19Z</dcterms:modified>
  <dc:title>附件3：</dc:title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96934721B1514D3FBAA28020338CE855_12</vt:lpwstr>
  </property>
  <property fmtid="{D5CDD505-2E9C-101B-9397-08002B2CF9AE}" pid="4" name="KSOTemplateDocerSaveRecord">
    <vt:lpwstr>eyJoZGlkIjoiMjBhNmI3ZTAxMzNkZGUxM2NiOWMzZWViODllYWUzODEiLCJ1c2VySWQiOiIzNzgxNjI4MzcifQ==</vt:lpwstr>
  </property>
</Properties>
</file>