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F00B21">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工商联</w:t>
      </w:r>
      <w:r>
        <w:rPr>
          <w:rFonts w:hint="eastAsia" w:ascii="宋体" w:hAnsi="宋体" w:cs="宋体"/>
          <w:b/>
          <w:bCs/>
          <w:sz w:val="44"/>
          <w:szCs w:val="44"/>
        </w:rPr>
        <w:t>部门</w:t>
      </w:r>
      <w:r>
        <w:rPr>
          <w:rFonts w:hint="eastAsia" w:ascii="宋体" w:hAnsi="宋体" w:cs="宋体"/>
          <w:b/>
          <w:bCs/>
          <w:sz w:val="44"/>
          <w:szCs w:val="44"/>
          <w:lang w:eastAsia="zh-CN"/>
        </w:rPr>
        <w:t>2025</w:t>
      </w:r>
      <w:r>
        <w:rPr>
          <w:rFonts w:hint="eastAsia" w:ascii="宋体" w:hAnsi="宋体" w:cs="宋体"/>
          <w:b/>
          <w:bCs/>
          <w:sz w:val="44"/>
          <w:szCs w:val="44"/>
        </w:rPr>
        <w:t>年度</w:t>
      </w:r>
    </w:p>
    <w:p w14:paraId="4F35EAAD">
      <w:pPr>
        <w:spacing w:line="560" w:lineRule="exact"/>
        <w:jc w:val="center"/>
        <w:rPr>
          <w:rFonts w:ascii="宋体" w:hAnsi="宋体" w:cs="宋体"/>
          <w:b/>
          <w:bCs/>
          <w:sz w:val="44"/>
          <w:szCs w:val="44"/>
        </w:rPr>
      </w:pPr>
      <w:r>
        <w:rPr>
          <w:rFonts w:hint="eastAsia" w:ascii="宋体" w:hAnsi="宋体" w:cs="宋体"/>
          <w:b/>
          <w:bCs/>
          <w:sz w:val="44"/>
          <w:szCs w:val="44"/>
        </w:rPr>
        <w:t>整体支出绩效自评报告</w:t>
      </w:r>
    </w:p>
    <w:p w14:paraId="6BADAF79">
      <w:pPr>
        <w:spacing w:line="560" w:lineRule="exact"/>
        <w:jc w:val="center"/>
        <w:rPr>
          <w:rFonts w:ascii="华文楷体" w:eastAsia="华文楷体"/>
          <w:sz w:val="32"/>
          <w:szCs w:val="32"/>
        </w:rPr>
      </w:pPr>
    </w:p>
    <w:p w14:paraId="3773757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hint="eastAsia" w:ascii="仿宋" w:hAnsi="仿宋" w:eastAsia="仿宋"/>
          <w:sz w:val="32"/>
          <w:szCs w:val="32"/>
          <w:lang w:val="en-US" w:eastAsia="zh-CN"/>
        </w:rPr>
        <w:t>工商联</w:t>
      </w:r>
      <w:r>
        <w:rPr>
          <w:rFonts w:hint="eastAsia" w:ascii="仿宋" w:hAnsi="仿宋" w:eastAsia="仿宋"/>
          <w:sz w:val="32"/>
          <w:szCs w:val="32"/>
        </w:rPr>
        <w:t>部门</w:t>
      </w:r>
      <w:r>
        <w:rPr>
          <w:rFonts w:hint="eastAsia" w:ascii="仿宋" w:hAnsi="仿宋" w:eastAsia="仿宋"/>
          <w:sz w:val="32"/>
          <w:szCs w:val="32"/>
          <w:lang w:eastAsia="zh-CN"/>
        </w:rPr>
        <w:t>2025</w:t>
      </w:r>
      <w:r>
        <w:rPr>
          <w:rFonts w:hint="eastAsia" w:ascii="仿宋" w:hAnsi="仿宋" w:eastAsia="仿宋"/>
          <w:sz w:val="32"/>
          <w:szCs w:val="32"/>
        </w:rPr>
        <w:t>年整体支出情况实施了财政支出绩效自评价，形成本评价报告。</w:t>
      </w:r>
    </w:p>
    <w:p w14:paraId="45BE7D76">
      <w:pPr>
        <w:adjustRightInd w:val="0"/>
        <w:snapToGrid w:val="0"/>
        <w:spacing w:line="560" w:lineRule="exact"/>
        <w:ind w:firstLine="800" w:firstLineChars="250"/>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14:paraId="1D53F854">
      <w:p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（一）部门概况</w:t>
      </w:r>
    </w:p>
    <w:p w14:paraId="158E76E0">
      <w:pPr>
        <w:pStyle w:val="6"/>
        <w:rPr>
          <w:rFonts w:hint="eastAsia" w:ascii="仿宋" w:hAnsi="仿宋" w:eastAsia="仿宋" w:cs="仿宋"/>
          <w:sz w:val="32"/>
          <w:szCs w:val="32"/>
        </w:rPr>
      </w:pPr>
      <w:r>
        <w:rPr>
          <w:rFonts w:hint="eastAsia" w:ascii="仿宋" w:hAnsi="仿宋" w:eastAsia="仿宋" w:cs="仿宋"/>
          <w:sz w:val="32"/>
          <w:szCs w:val="32"/>
          <w:lang w:val="en-US" w:eastAsia="zh-CN"/>
        </w:rPr>
        <w:t>部门职责：</w:t>
      </w:r>
      <w:r>
        <w:rPr>
          <w:rFonts w:hint="eastAsia" w:ascii="仿宋" w:hAnsi="仿宋" w:eastAsia="仿宋" w:cs="仿宋"/>
          <w:sz w:val="32"/>
          <w:szCs w:val="32"/>
        </w:rPr>
        <w:t>参与全县政治、经济、社会生活中的重要问题的政治协商，发挥民主监督的作用，参政议政；负责工商界代表人士政治安排的推荐工作；引导会员积极参加国家经济建设，推动社会主义市场经济体制逐步完善，促进社会全面发展；做好非公有制经济代表人士的思想政治工作，团结、帮助、引导、教育会员遵守国家的法律、法规和政策，提高会员素质，培养积极分子队伍；代表并维护会员的合法权益，反映会员的意见、要求和建议；开展与国内外工商社团及经济界人士的友好往来，促进经济技术和贸易合作的发展，开拓国内外市场；协助引进资金、技术、人才；完成县委、县政府交办的其他任务。</w:t>
      </w:r>
    </w:p>
    <w:p w14:paraId="022A633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B8DC2B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A240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129054">
            <w:pPr>
              <w:pStyle w:val="7"/>
            </w:pPr>
            <w:r>
              <w:t>单位名称</w:t>
            </w:r>
          </w:p>
        </w:tc>
        <w:tc>
          <w:tcPr>
            <w:tcW w:w="1843" w:type="dxa"/>
            <w:vAlign w:val="center"/>
          </w:tcPr>
          <w:p w14:paraId="3A184651">
            <w:pPr>
              <w:pStyle w:val="7"/>
            </w:pPr>
            <w:r>
              <w:t>单位性质</w:t>
            </w:r>
          </w:p>
        </w:tc>
        <w:tc>
          <w:tcPr>
            <w:tcW w:w="2126" w:type="dxa"/>
            <w:vAlign w:val="center"/>
          </w:tcPr>
          <w:p w14:paraId="375C1230">
            <w:pPr>
              <w:pStyle w:val="7"/>
            </w:pPr>
            <w:r>
              <w:t>单位规格</w:t>
            </w:r>
          </w:p>
        </w:tc>
        <w:tc>
          <w:tcPr>
            <w:tcW w:w="3827" w:type="dxa"/>
            <w:vAlign w:val="center"/>
          </w:tcPr>
          <w:p w14:paraId="511CF893">
            <w:pPr>
              <w:pStyle w:val="7"/>
            </w:pPr>
            <w:r>
              <w:t>经费保障形式</w:t>
            </w:r>
          </w:p>
        </w:tc>
      </w:tr>
      <w:tr w14:paraId="0457C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57A759">
            <w:pPr>
              <w:pStyle w:val="8"/>
            </w:pPr>
            <w:r>
              <w:t>河北省元氏县工商业联合会本级</w:t>
            </w:r>
          </w:p>
        </w:tc>
        <w:tc>
          <w:tcPr>
            <w:tcW w:w="1843" w:type="dxa"/>
            <w:vAlign w:val="center"/>
          </w:tcPr>
          <w:p w14:paraId="4D2800B1">
            <w:pPr>
              <w:pStyle w:val="9"/>
              <w:rPr>
                <w:rFonts w:hint="eastAsia" w:eastAsia="方正书宋_GBK"/>
                <w:lang w:eastAsia="zh-CN"/>
              </w:rPr>
            </w:pPr>
            <w:r>
              <w:rPr>
                <w:rFonts w:hint="eastAsia"/>
                <w:lang w:val="en-US" w:eastAsia="zh-CN"/>
              </w:rPr>
              <w:t>参公事业</w:t>
            </w:r>
          </w:p>
        </w:tc>
        <w:tc>
          <w:tcPr>
            <w:tcW w:w="2126" w:type="dxa"/>
            <w:vAlign w:val="center"/>
          </w:tcPr>
          <w:p w14:paraId="284BA83B">
            <w:pPr>
              <w:pStyle w:val="9"/>
            </w:pPr>
            <w:r>
              <w:t>正科级</w:t>
            </w:r>
          </w:p>
        </w:tc>
        <w:tc>
          <w:tcPr>
            <w:tcW w:w="3827" w:type="dxa"/>
            <w:vAlign w:val="center"/>
          </w:tcPr>
          <w:p w14:paraId="36FAA0ED">
            <w:pPr>
              <w:pStyle w:val="9"/>
            </w:pPr>
            <w:r>
              <w:t>财政拨款</w:t>
            </w:r>
          </w:p>
        </w:tc>
      </w:tr>
    </w:tbl>
    <w:p w14:paraId="36E87A77">
      <w:pPr>
        <w:keepNext w:val="0"/>
        <w:keepLines w:val="0"/>
        <w:pageBreakBefore w:val="0"/>
        <w:widowControl w:val="0"/>
        <w:kinsoku/>
        <w:wordWrap/>
        <w:overflowPunct/>
        <w:topLinePunct w:val="0"/>
        <w:autoSpaceDE/>
        <w:autoSpaceDN/>
        <w:bidi w:val="0"/>
        <w:spacing w:before="0" w:after="0" w:line="240" w:lineRule="auto"/>
        <w:ind w:firstLine="640"/>
        <w:jc w:val="left"/>
        <w:textAlignment w:val="auto"/>
        <w:outlineLvl w:val="9"/>
        <w:rPr>
          <w:rFonts w:hint="eastAsia"/>
          <w:b/>
          <w:color w:val="000000"/>
          <w:sz w:val="32"/>
          <w:lang w:eastAsia="zh-CN"/>
        </w:rPr>
      </w:pPr>
      <w:r>
        <w:rPr>
          <w:rFonts w:hint="eastAsia"/>
          <w:b/>
          <w:color w:val="000000"/>
          <w:sz w:val="32"/>
          <w:lang w:eastAsia="zh-CN"/>
        </w:rPr>
        <w:t>人员情况：</w:t>
      </w:r>
    </w:p>
    <w:p w14:paraId="4211270B">
      <w:pPr>
        <w:keepNext w:val="0"/>
        <w:keepLines w:val="0"/>
        <w:pageBreakBefore w:val="0"/>
        <w:widowControl w:val="0"/>
        <w:kinsoku/>
        <w:wordWrap/>
        <w:overflowPunct/>
        <w:topLinePunct w:val="0"/>
        <w:autoSpaceDE/>
        <w:autoSpaceDN/>
        <w:bidi w:val="0"/>
        <w:spacing w:before="0" w:after="0" w:line="240" w:lineRule="auto"/>
        <w:ind w:firstLine="640"/>
        <w:jc w:val="left"/>
        <w:textAlignment w:val="auto"/>
        <w:outlineLvl w:val="9"/>
        <w:rPr>
          <w:rStyle w:val="10"/>
          <w:rFonts w:hint="eastAsia" w:eastAsia="仿宋_GB2312" w:cs="Times New Roman"/>
          <w:color w:val="auto"/>
          <w:kern w:val="0"/>
          <w:lang w:val="en-US" w:eastAsia="zh-CN"/>
        </w:rPr>
      </w:pPr>
      <w:r>
        <w:rPr>
          <w:rFonts w:hint="eastAsia" w:ascii="仿宋" w:hAnsi="仿宋" w:eastAsia="仿宋" w:cs="仿宋"/>
          <w:kern w:val="0"/>
          <w:sz w:val="32"/>
          <w:szCs w:val="32"/>
          <w:lang w:eastAsia="zh-CN" w:bidi="ar"/>
        </w:rPr>
        <w:t>2025</w:t>
      </w:r>
      <w:r>
        <w:rPr>
          <w:rFonts w:hint="eastAsia" w:ascii="仿宋" w:hAnsi="仿宋" w:eastAsia="仿宋" w:cs="仿宋"/>
          <w:kern w:val="0"/>
          <w:sz w:val="32"/>
          <w:szCs w:val="32"/>
          <w:lang w:bidi="ar"/>
        </w:rPr>
        <w:t>年</w:t>
      </w:r>
      <w:r>
        <w:rPr>
          <w:rFonts w:hint="eastAsia" w:ascii="仿宋" w:hAnsi="仿宋" w:eastAsia="仿宋" w:cs="仿宋"/>
          <w:kern w:val="0"/>
          <w:sz w:val="32"/>
          <w:szCs w:val="32"/>
          <w:lang w:eastAsia="zh-CN" w:bidi="ar"/>
        </w:rPr>
        <w:t>底</w:t>
      </w:r>
      <w:r>
        <w:rPr>
          <w:rStyle w:val="10"/>
          <w:rFonts w:hint="default"/>
          <w:color w:val="auto"/>
          <w:kern w:val="0"/>
        </w:rPr>
        <w:t>，我单位实有</w:t>
      </w:r>
      <w:r>
        <w:rPr>
          <w:rStyle w:val="10"/>
          <w:rFonts w:hint="eastAsia" w:eastAsia="仿宋_GB2312"/>
          <w:color w:val="auto"/>
          <w:kern w:val="0"/>
          <w:lang w:eastAsia="zh-CN"/>
        </w:rPr>
        <w:t>在职</w:t>
      </w:r>
      <w:r>
        <w:rPr>
          <w:rStyle w:val="10"/>
          <w:rFonts w:hint="default"/>
          <w:color w:val="auto"/>
          <w:kern w:val="0"/>
        </w:rPr>
        <w:t>人员</w:t>
      </w:r>
      <w:r>
        <w:rPr>
          <w:rStyle w:val="10"/>
          <w:rFonts w:hint="eastAsia" w:eastAsia="仿宋_GB2312"/>
          <w:color w:val="auto"/>
          <w:kern w:val="0"/>
          <w:lang w:val="en-US" w:eastAsia="zh-CN"/>
        </w:rPr>
        <w:t>5</w:t>
      </w:r>
      <w:r>
        <w:rPr>
          <w:rStyle w:val="10"/>
          <w:rFonts w:hint="eastAsia" w:eastAsia="仿宋_GB2312"/>
          <w:color w:val="auto"/>
          <w:kern w:val="0"/>
          <w:lang w:eastAsia="zh-CN"/>
        </w:rPr>
        <w:t>人</w:t>
      </w:r>
      <w:r>
        <w:rPr>
          <w:rStyle w:val="10"/>
          <w:rFonts w:hint="default"/>
          <w:color w:val="auto"/>
          <w:kern w:val="0"/>
        </w:rPr>
        <w:t>，</w:t>
      </w:r>
      <w:r>
        <w:rPr>
          <w:rStyle w:val="10"/>
          <w:rFonts w:hint="default" w:hAnsi="Times New Roman" w:eastAsia="仿宋_GB2312" w:cs="Times New Roman"/>
          <w:color w:val="auto"/>
          <w:kern w:val="0"/>
          <w:lang w:val="en-US" w:eastAsia="zh-CN"/>
        </w:rPr>
        <w:t>退休人员</w:t>
      </w:r>
      <w:r>
        <w:rPr>
          <w:rStyle w:val="10"/>
          <w:rFonts w:hint="eastAsia" w:eastAsia="仿宋_GB2312" w:cs="Times New Roman"/>
          <w:color w:val="auto"/>
          <w:kern w:val="0"/>
          <w:lang w:val="en-US" w:eastAsia="zh-CN"/>
        </w:rPr>
        <w:t>7人。</w:t>
      </w:r>
    </w:p>
    <w:p w14:paraId="19E9D8AC">
      <w:pPr>
        <w:keepNext w:val="0"/>
        <w:keepLines w:val="0"/>
        <w:pageBreakBefore w:val="0"/>
        <w:widowControl w:val="0"/>
        <w:kinsoku/>
        <w:wordWrap/>
        <w:overflowPunct/>
        <w:topLinePunct w:val="0"/>
        <w:autoSpaceDE/>
        <w:autoSpaceDN/>
        <w:bidi w:val="0"/>
        <w:spacing w:line="560" w:lineRule="exact"/>
        <w:ind w:firstLine="643" w:firstLineChars="200"/>
        <w:textAlignment w:val="auto"/>
        <w:rPr>
          <w:rFonts w:hint="eastAsia"/>
          <w:b/>
          <w:color w:val="000000"/>
          <w:sz w:val="32"/>
          <w:lang w:eastAsia="zh-CN"/>
        </w:rPr>
      </w:pPr>
      <w:r>
        <w:rPr>
          <w:rFonts w:hint="eastAsia"/>
          <w:b/>
          <w:color w:val="000000"/>
          <w:sz w:val="32"/>
          <w:lang w:eastAsia="zh-CN"/>
        </w:rPr>
        <w:t>固定资产：</w:t>
      </w:r>
    </w:p>
    <w:p w14:paraId="6E93E22F">
      <w:pPr>
        <w:keepNext w:val="0"/>
        <w:keepLines w:val="0"/>
        <w:pageBreakBefore w:val="0"/>
        <w:widowControl w:val="0"/>
        <w:kinsoku/>
        <w:wordWrap/>
        <w:overflowPunct/>
        <w:topLinePunct w:val="0"/>
        <w:autoSpaceDE/>
        <w:autoSpaceDN/>
        <w:bidi w:val="0"/>
        <w:spacing w:before="0" w:after="0" w:line="240" w:lineRule="auto"/>
        <w:ind w:firstLine="640"/>
        <w:jc w:val="left"/>
        <w:textAlignment w:val="auto"/>
        <w:outlineLvl w:val="9"/>
        <w:rPr>
          <w:rFonts w:hint="eastAsia" w:ascii="仿宋" w:hAnsi="仿宋" w:eastAsia="宋体"/>
          <w:sz w:val="32"/>
          <w:szCs w:val="32"/>
          <w:lang w:eastAsia="zh-CN"/>
        </w:rPr>
      </w:pPr>
      <w:r>
        <w:rPr>
          <w:rFonts w:hint="eastAsia"/>
          <w:b w:val="0"/>
          <w:color w:val="000000"/>
          <w:sz w:val="28"/>
          <w:lang w:val="en-US" w:eastAsia="zh-CN"/>
        </w:rPr>
        <w:t>工商联</w:t>
      </w:r>
      <w:r>
        <w:rPr>
          <w:b w:val="0"/>
          <w:color w:val="000000"/>
          <w:sz w:val="28"/>
        </w:rPr>
        <w:t>上年末固定资产金额为</w:t>
      </w:r>
      <w:r>
        <w:rPr>
          <w:rFonts w:hint="eastAsia"/>
          <w:b w:val="0"/>
          <w:color w:val="000000"/>
          <w:sz w:val="28"/>
          <w:lang w:val="en-US" w:eastAsia="zh-CN"/>
        </w:rPr>
        <w:t>4.287624万</w:t>
      </w:r>
      <w:r>
        <w:rPr>
          <w:b w:val="0"/>
          <w:color w:val="000000"/>
          <w:sz w:val="28"/>
        </w:rPr>
        <w:t>元</w:t>
      </w:r>
      <w:r>
        <w:rPr>
          <w:rFonts w:hint="eastAsia"/>
          <w:b w:val="0"/>
          <w:color w:val="000000"/>
          <w:sz w:val="28"/>
          <w:lang w:eastAsia="zh-CN"/>
        </w:rPr>
        <w:t>。</w:t>
      </w:r>
    </w:p>
    <w:p w14:paraId="23B1D5D7">
      <w:pPr>
        <w:numPr>
          <w:ilvl w:val="0"/>
          <w:numId w:val="1"/>
        </w:numPr>
        <w:adjustRightInd w:val="0"/>
        <w:snapToGrid w:val="0"/>
        <w:spacing w:line="560" w:lineRule="exact"/>
        <w:ind w:firstLine="643" w:firstLineChars="200"/>
        <w:rPr>
          <w:rFonts w:hint="eastAsia" w:ascii="仿宋" w:hAnsi="仿宋" w:eastAsia="仿宋" w:cs="楷体_GB2312"/>
          <w:b/>
          <w:bCs/>
          <w:sz w:val="32"/>
          <w:szCs w:val="32"/>
        </w:rPr>
      </w:pPr>
      <w:r>
        <w:rPr>
          <w:rFonts w:hint="eastAsia" w:ascii="仿宋" w:hAnsi="仿宋" w:eastAsia="仿宋" w:cs="楷体_GB2312"/>
          <w:b/>
          <w:bCs/>
          <w:sz w:val="32"/>
          <w:szCs w:val="32"/>
        </w:rPr>
        <w:t>部门收支预决算情况</w:t>
      </w:r>
    </w:p>
    <w:p w14:paraId="626636AD">
      <w:pPr>
        <w:adjustRightInd w:val="0"/>
        <w:snapToGrid w:val="0"/>
        <w:spacing w:line="580" w:lineRule="exact"/>
        <w:ind w:firstLine="420" w:firstLineChars="200"/>
        <w:rPr>
          <w:rFonts w:hint="eastAsia" w:ascii="仿宋_GB2312" w:hAnsi="Times New Roman" w:eastAsia="仿宋_GB2312" w:cs="DengXian-Regular"/>
          <w:sz w:val="32"/>
          <w:szCs w:val="32"/>
          <w:lang w:val="en-US" w:eastAsia="zh-CN"/>
        </w:rPr>
      </w:pPr>
      <w:r>
        <w:rPr>
          <w:rFonts w:hint="eastAsia"/>
          <w:lang w:val="en-US" w:eastAsia="zh-CN"/>
        </w:rPr>
        <w:t xml:space="preserve">  </w:t>
      </w:r>
      <w:r>
        <w:rPr>
          <w:rFonts w:hint="eastAsia" w:ascii="仿宋_GB2312" w:eastAsia="仿宋_GB2312" w:cs="DengXian-Regular"/>
          <w:sz w:val="32"/>
          <w:szCs w:val="32"/>
          <w:lang w:eastAsia="zh-CN"/>
        </w:rPr>
        <w:t>2025</w:t>
      </w:r>
      <w:r>
        <w:rPr>
          <w:rFonts w:hint="eastAsia" w:ascii="仿宋_GB2312" w:hAnsi="Times New Roman" w:eastAsia="仿宋_GB2312" w:cs="DengXian-Regular"/>
          <w:sz w:val="32"/>
          <w:szCs w:val="32"/>
        </w:rPr>
        <w:t>年度收支总计（含结转和结余）110.17万元。与2024年度决算相比，收支各增加12.65万元，增加12.97%，主要原因是人员经费增加。</w:t>
      </w:r>
    </w:p>
    <w:p w14:paraId="6BB35982">
      <w:p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（三）部门整体支出绩效目标、指标</w:t>
      </w:r>
    </w:p>
    <w:p w14:paraId="583E1650">
      <w:pPr>
        <w:tabs>
          <w:tab w:val="left" w:pos="2745"/>
        </w:tabs>
        <w:spacing w:line="360" w:lineRule="auto"/>
        <w:ind w:firstLine="630"/>
        <w:rPr>
          <w:rFonts w:hint="eastAsia" w:ascii="仿宋" w:hAnsi="仿宋" w:eastAsia="仿宋" w:cs="仿宋"/>
          <w:b/>
          <w:bCs/>
          <w:sz w:val="32"/>
          <w:szCs w:val="32"/>
        </w:rPr>
      </w:pPr>
      <w:r>
        <w:rPr>
          <w:rFonts w:hint="eastAsia" w:ascii="仿宋" w:hAnsi="仿宋" w:eastAsia="仿宋" w:cs="仿宋"/>
          <w:bCs/>
          <w:sz w:val="32"/>
          <w:szCs w:val="32"/>
          <w:lang w:val="en-US" w:eastAsia="zh-CN"/>
        </w:rPr>
        <w:t>1、</w:t>
      </w:r>
      <w:r>
        <w:rPr>
          <w:rFonts w:hint="eastAsia" w:ascii="仿宋" w:hAnsi="仿宋" w:eastAsia="仿宋" w:cs="仿宋"/>
          <w:bCs/>
          <w:sz w:val="32"/>
          <w:szCs w:val="32"/>
        </w:rPr>
        <w:t>履行工商联章程，做好各项服务工作，搞好交流培训。</w:t>
      </w:r>
    </w:p>
    <w:p w14:paraId="5A84E49A">
      <w:pPr>
        <w:tabs>
          <w:tab w:val="left" w:pos="2745"/>
        </w:tabs>
        <w:spacing w:line="360" w:lineRule="auto"/>
        <w:ind w:firstLine="640" w:firstLineChars="200"/>
        <w:rPr>
          <w:rFonts w:hint="default" w:eastAsia="仿宋"/>
          <w:lang w:val="en-US" w:eastAsia="zh-CN"/>
        </w:rPr>
      </w:pPr>
      <w:r>
        <w:rPr>
          <w:rFonts w:hint="eastAsia" w:ascii="仿宋" w:hAnsi="仿宋" w:eastAsia="仿宋" w:cs="仿宋"/>
          <w:b w:val="0"/>
          <w:bCs w:val="0"/>
          <w:sz w:val="32"/>
          <w:szCs w:val="32"/>
        </w:rPr>
        <w:t>绩效目标：</w:t>
      </w:r>
      <w:r>
        <w:rPr>
          <w:rFonts w:hint="eastAsia" w:ascii="仿宋" w:hAnsi="仿宋" w:eastAsia="仿宋" w:cs="仿宋"/>
          <w:b w:val="0"/>
          <w:bCs w:val="0"/>
          <w:sz w:val="32"/>
          <w:szCs w:val="32"/>
          <w:lang w:val="en-US" w:eastAsia="zh-CN"/>
        </w:rPr>
        <w:t>壮大工商联会员队伍，</w:t>
      </w:r>
      <w:r>
        <w:rPr>
          <w:rFonts w:hint="eastAsia" w:ascii="仿宋" w:hAnsi="仿宋" w:eastAsia="仿宋" w:cs="仿宋"/>
          <w:sz w:val="32"/>
          <w:szCs w:val="32"/>
        </w:rPr>
        <w:t>做好企业家教育学习培训会议工作，促进我</w:t>
      </w:r>
      <w:r>
        <w:rPr>
          <w:rFonts w:hint="eastAsia" w:ascii="仿宋" w:hAnsi="仿宋" w:eastAsia="仿宋" w:cs="仿宋"/>
          <w:sz w:val="32"/>
          <w:szCs w:val="32"/>
          <w:lang w:eastAsia="zh-CN"/>
        </w:rPr>
        <w:t>县</w:t>
      </w:r>
      <w:r>
        <w:rPr>
          <w:rFonts w:hint="eastAsia" w:ascii="仿宋" w:hAnsi="仿宋" w:eastAsia="仿宋" w:cs="仿宋"/>
          <w:sz w:val="32"/>
          <w:szCs w:val="32"/>
        </w:rPr>
        <w:t>非公有制经济快速健康发展。发展会员</w:t>
      </w:r>
      <w:r>
        <w:rPr>
          <w:rFonts w:hint="eastAsia" w:ascii="仿宋" w:hAnsi="仿宋" w:eastAsia="仿宋" w:cs="仿宋"/>
          <w:sz w:val="32"/>
          <w:szCs w:val="32"/>
          <w:lang w:val="en-US" w:eastAsia="zh-CN"/>
        </w:rPr>
        <w:t>4</w:t>
      </w:r>
      <w:r>
        <w:rPr>
          <w:rFonts w:hint="eastAsia" w:ascii="仿宋" w:hAnsi="仿宋" w:eastAsia="仿宋" w:cs="仿宋"/>
          <w:sz w:val="32"/>
          <w:szCs w:val="32"/>
        </w:rPr>
        <w:t>个</w:t>
      </w:r>
      <w:r>
        <w:rPr>
          <w:rFonts w:hint="eastAsia" w:ascii="仿宋" w:hAnsi="仿宋" w:eastAsia="仿宋" w:cs="仿宋"/>
          <w:sz w:val="32"/>
          <w:szCs w:val="32"/>
          <w:lang w:eastAsia="zh-CN"/>
        </w:rPr>
        <w:t>；</w:t>
      </w:r>
      <w:r>
        <w:rPr>
          <w:rFonts w:hint="eastAsia" w:ascii="仿宋" w:hAnsi="仿宋" w:eastAsia="仿宋" w:cs="仿宋"/>
          <w:sz w:val="32"/>
          <w:szCs w:val="32"/>
        </w:rPr>
        <w:t xml:space="preserve">组织商会活动4次 </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提供专家决策咨询6次，开展企业联合会行业会展2次。</w:t>
      </w:r>
    </w:p>
    <w:p w14:paraId="4CD3340F">
      <w:pPr>
        <w:adjustRightInd w:val="0"/>
        <w:snapToGrid w:val="0"/>
        <w:spacing w:line="360" w:lineRule="auto"/>
        <w:ind w:firstLine="640" w:firstLineChars="200"/>
        <w:rPr>
          <w:rFonts w:hint="default" w:ascii="仿宋" w:hAnsi="仿宋" w:eastAsia="仿宋" w:cs="仿宋"/>
          <w:sz w:val="32"/>
          <w:szCs w:val="32"/>
          <w:lang w:val="en-US" w:eastAsia="zh-CN"/>
        </w:rPr>
      </w:pPr>
      <w:r>
        <w:rPr>
          <w:rFonts w:hint="eastAsia" w:ascii="仿宋" w:hAnsi="仿宋" w:eastAsia="仿宋" w:cs="仿宋"/>
          <w:b w:val="0"/>
          <w:bCs w:val="0"/>
          <w:sz w:val="32"/>
          <w:szCs w:val="32"/>
        </w:rPr>
        <w:t>绩效指标：</w:t>
      </w:r>
      <w:r>
        <w:rPr>
          <w:rFonts w:hint="eastAsia" w:ascii="仿宋" w:hAnsi="仿宋" w:eastAsia="仿宋" w:cs="仿宋"/>
          <w:b w:val="0"/>
          <w:bCs w:val="0"/>
          <w:sz w:val="32"/>
          <w:szCs w:val="32"/>
          <w:lang w:val="en-US" w:eastAsia="zh-CN"/>
        </w:rPr>
        <w:t>发展会员4名，</w:t>
      </w:r>
      <w:r>
        <w:rPr>
          <w:rFonts w:hint="eastAsia" w:ascii="仿宋" w:hAnsi="仿宋" w:eastAsia="仿宋" w:cs="仿宋"/>
          <w:bCs/>
          <w:sz w:val="32"/>
          <w:szCs w:val="32"/>
        </w:rPr>
        <w:t>推</w:t>
      </w:r>
      <w:r>
        <w:rPr>
          <w:rFonts w:hint="eastAsia" w:ascii="仿宋" w:hAnsi="仿宋" w:eastAsia="仿宋" w:cs="仿宋"/>
          <w:sz w:val="32"/>
          <w:szCs w:val="32"/>
        </w:rPr>
        <w:t>进学习培训、商会交流和异地商会建设，组织企业家培训</w:t>
      </w:r>
      <w:r>
        <w:rPr>
          <w:rFonts w:hint="eastAsia" w:ascii="仿宋" w:hAnsi="仿宋" w:eastAsia="仿宋" w:cs="仿宋"/>
          <w:sz w:val="32"/>
          <w:szCs w:val="32"/>
          <w:lang w:val="en-US" w:eastAsia="zh-CN"/>
        </w:rPr>
        <w:t>3</w:t>
      </w:r>
      <w:r>
        <w:rPr>
          <w:rFonts w:hint="eastAsia" w:ascii="仿宋" w:hAnsi="仿宋" w:eastAsia="仿宋" w:cs="仿宋"/>
          <w:sz w:val="32"/>
          <w:szCs w:val="32"/>
        </w:rPr>
        <w:t>次，参训企业家≥90%。外出学习考察1次。</w:t>
      </w:r>
      <w:r>
        <w:rPr>
          <w:rFonts w:hint="eastAsia" w:ascii="仿宋" w:hAnsi="仿宋" w:eastAsia="仿宋" w:cs="仿宋"/>
          <w:sz w:val="32"/>
          <w:szCs w:val="32"/>
          <w:lang w:val="en-US" w:eastAsia="zh-CN"/>
        </w:rPr>
        <w:t>帮助企业发展，提供专家决策咨询服务6次，开展企业联合会行业会展2次。</w:t>
      </w:r>
    </w:p>
    <w:p w14:paraId="2C0C69A3">
      <w:pPr>
        <w:tabs>
          <w:tab w:val="left" w:pos="2745"/>
        </w:tabs>
        <w:spacing w:line="360" w:lineRule="auto"/>
        <w:ind w:firstLine="630"/>
        <w:rPr>
          <w:rFonts w:hint="eastAsia" w:ascii="仿宋" w:hAnsi="仿宋" w:eastAsia="仿宋" w:cs="仿宋"/>
          <w:b/>
          <w:bCs/>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按照工商联章程做好常委会、执委会的召开，完成会议各项议程。</w:t>
      </w:r>
    </w:p>
    <w:p w14:paraId="373D2F0C">
      <w:pPr>
        <w:tabs>
          <w:tab w:val="left" w:pos="2745"/>
        </w:tabs>
        <w:spacing w:line="360" w:lineRule="auto"/>
        <w:ind w:firstLine="630"/>
        <w:rPr>
          <w:rFonts w:hint="eastAsia" w:ascii="仿宋" w:hAnsi="仿宋" w:eastAsia="仿宋" w:cs="仿宋"/>
          <w:sz w:val="32"/>
          <w:szCs w:val="32"/>
          <w:lang w:val="en-US" w:eastAsia="zh-CN"/>
        </w:rPr>
      </w:pPr>
      <w:r>
        <w:rPr>
          <w:rFonts w:hint="eastAsia" w:ascii="仿宋" w:hAnsi="仿宋" w:eastAsia="仿宋" w:cs="仿宋"/>
          <w:b w:val="0"/>
          <w:bCs w:val="0"/>
          <w:sz w:val="32"/>
          <w:szCs w:val="32"/>
        </w:rPr>
        <w:t>绩效目标：</w:t>
      </w:r>
      <w:r>
        <w:rPr>
          <w:rFonts w:hint="eastAsia" w:ascii="仿宋" w:hAnsi="仿宋" w:eastAsia="仿宋" w:cs="仿宋"/>
          <w:sz w:val="32"/>
          <w:szCs w:val="32"/>
        </w:rPr>
        <w:t>了解企业呼声诉求，为我县民营经济发展建言献策，为企业发展提供服务。</w:t>
      </w:r>
    </w:p>
    <w:p w14:paraId="628B8411">
      <w:pPr>
        <w:tabs>
          <w:tab w:val="left" w:pos="2745"/>
        </w:tabs>
        <w:spacing w:line="360" w:lineRule="auto"/>
        <w:ind w:firstLine="640" w:firstLineChars="200"/>
        <w:rPr>
          <w:rFonts w:hint="default" w:eastAsia="仿宋"/>
          <w:lang w:val="en-US" w:eastAsia="zh-CN"/>
        </w:rPr>
      </w:pPr>
      <w:r>
        <w:rPr>
          <w:rFonts w:hint="eastAsia" w:ascii="仿宋" w:hAnsi="仿宋" w:eastAsia="仿宋" w:cs="仿宋"/>
          <w:b w:val="0"/>
          <w:bCs w:val="0"/>
          <w:sz w:val="32"/>
          <w:szCs w:val="32"/>
        </w:rPr>
        <w:t>绩效指标：</w:t>
      </w:r>
      <w:r>
        <w:rPr>
          <w:rFonts w:hint="eastAsia" w:ascii="仿宋" w:hAnsi="仿宋" w:eastAsia="仿宋" w:cs="仿宋"/>
          <w:sz w:val="32"/>
          <w:szCs w:val="32"/>
        </w:rPr>
        <w:t>组织召开常委会</w:t>
      </w:r>
      <w:r>
        <w:rPr>
          <w:rFonts w:hint="eastAsia" w:ascii="仿宋" w:hAnsi="仿宋" w:eastAsia="仿宋" w:cs="仿宋"/>
          <w:sz w:val="32"/>
          <w:szCs w:val="32"/>
          <w:lang w:val="en-US" w:eastAsia="zh-CN"/>
        </w:rPr>
        <w:t>1</w:t>
      </w:r>
      <w:r>
        <w:rPr>
          <w:rFonts w:hint="eastAsia" w:ascii="仿宋" w:hAnsi="仿宋" w:eastAsia="仿宋" w:cs="仿宋"/>
          <w:sz w:val="32"/>
          <w:szCs w:val="32"/>
        </w:rPr>
        <w:t>次、执委</w:t>
      </w:r>
      <w:r>
        <w:rPr>
          <w:rFonts w:hint="eastAsia" w:ascii="仿宋" w:hAnsi="仿宋" w:eastAsia="仿宋" w:cs="仿宋"/>
          <w:sz w:val="32"/>
          <w:szCs w:val="32"/>
          <w:lang w:val="en-US" w:eastAsia="zh-CN"/>
        </w:rPr>
        <w:t>会1</w:t>
      </w:r>
      <w:r>
        <w:rPr>
          <w:rFonts w:hint="eastAsia" w:ascii="仿宋" w:hAnsi="仿宋" w:eastAsia="仿宋" w:cs="仿宋"/>
          <w:sz w:val="32"/>
          <w:szCs w:val="32"/>
        </w:rPr>
        <w:t>次，</w:t>
      </w:r>
      <w:r>
        <w:rPr>
          <w:rFonts w:hint="eastAsia" w:ascii="仿宋" w:hAnsi="仿宋" w:eastAsia="仿宋" w:cs="仿宋"/>
          <w:sz w:val="32"/>
          <w:szCs w:val="32"/>
          <w:lang w:val="en-US" w:eastAsia="zh-CN"/>
        </w:rPr>
        <w:t>政企交流会4次，</w:t>
      </w:r>
      <w:r>
        <w:rPr>
          <w:rFonts w:hint="eastAsia" w:ascii="仿宋" w:hAnsi="仿宋" w:eastAsia="仿宋" w:cs="仿宋"/>
          <w:sz w:val="32"/>
          <w:szCs w:val="32"/>
        </w:rPr>
        <w:t>参会人数≥90%</w:t>
      </w:r>
      <w:r>
        <w:rPr>
          <w:rFonts w:hint="eastAsia" w:ascii="仿宋" w:hAnsi="仿宋" w:eastAsia="仿宋" w:cs="仿宋"/>
          <w:sz w:val="32"/>
          <w:szCs w:val="32"/>
          <w:lang w:eastAsia="zh-CN"/>
        </w:rPr>
        <w:t>。</w:t>
      </w:r>
    </w:p>
    <w:p w14:paraId="26E8659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356D756">
      <w:pPr>
        <w:spacing w:line="560" w:lineRule="exact"/>
        <w:ind w:firstLine="630" w:firstLineChars="196"/>
        <w:rPr>
          <w:rFonts w:hint="eastAsia" w:ascii="仿宋" w:hAnsi="仿宋" w:eastAsia="仿宋" w:cs="楷体_GB2312"/>
          <w:b/>
          <w:bCs/>
          <w:sz w:val="32"/>
          <w:szCs w:val="32"/>
        </w:rPr>
      </w:pPr>
      <w:r>
        <w:rPr>
          <w:rFonts w:hint="eastAsia" w:ascii="仿宋" w:hAnsi="仿宋" w:eastAsia="仿宋" w:cs="楷体_GB2312"/>
          <w:b/>
          <w:bCs/>
          <w:sz w:val="32"/>
          <w:szCs w:val="32"/>
        </w:rPr>
        <w:t>（一）自评的组织工作</w:t>
      </w:r>
    </w:p>
    <w:p w14:paraId="51CB9EFD">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准备情况</w:t>
      </w:r>
      <w:r>
        <w:rPr>
          <w:rFonts w:hint="eastAsia" w:ascii="仿宋_GB2312" w:hAnsi="Times New Roman" w:eastAsia="仿宋_GB2312" w:cs="DengXian-Regular"/>
          <w:sz w:val="32"/>
          <w:szCs w:val="32"/>
          <w:lang w:eastAsia="zh-CN"/>
        </w:rPr>
        <w:t>：</w:t>
      </w:r>
    </w:p>
    <w:p w14:paraId="2E442D60">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一是明确绩效评价的内容和范围。明确四个方面的评价内容和此次绩效评价的范围。二是研究评价指标体系。三是召开座谈会，对方案进行反复讨论并广泛征求有关问道有关人员意见。四是确定了部门项目预算评价方法。</w:t>
      </w:r>
    </w:p>
    <w:p w14:paraId="70F72334">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实施情况</w:t>
      </w:r>
      <w:r>
        <w:rPr>
          <w:rFonts w:hint="eastAsia" w:ascii="仿宋_GB2312" w:hAnsi="Times New Roman" w:eastAsia="仿宋_GB2312" w:cs="DengXian-Regular"/>
          <w:sz w:val="32"/>
          <w:szCs w:val="32"/>
          <w:lang w:eastAsia="zh-CN"/>
        </w:rPr>
        <w:t>：</w:t>
      </w:r>
    </w:p>
    <w:p w14:paraId="5A269C31">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1</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成立预算绩效评价组。为保证绩效评价工作顺利开展，我单位成立了专门绩效评价小组，负责绩效评价的组织管理和实施工作。</w:t>
      </w:r>
    </w:p>
    <w:p w14:paraId="1554E277">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2</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组织部门自评。预算按照要求整理相关数据和资料，对部门综合绩效情况进行自我评价，填报《项目支出绩效自评表》，并撰写《部门年度绩效自评工作报告》。</w:t>
      </w:r>
    </w:p>
    <w:p w14:paraId="1E8F70E1">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3</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组织开展绩效重点评价工作。本次重点评价对象为</w:t>
      </w:r>
      <w:r>
        <w:rPr>
          <w:rFonts w:hint="eastAsia" w:ascii="仿宋_GB2312" w:eastAsia="仿宋_GB2312" w:cs="DengXian-Regular"/>
          <w:sz w:val="32"/>
          <w:szCs w:val="32"/>
          <w:lang w:eastAsia="zh-CN"/>
        </w:rPr>
        <w:t>2025</w:t>
      </w:r>
      <w:r>
        <w:rPr>
          <w:rFonts w:hint="eastAsia" w:ascii="仿宋_GB2312" w:hAnsi="Times New Roman" w:eastAsia="仿宋_GB2312" w:cs="DengXian-Regular"/>
          <w:sz w:val="32"/>
          <w:szCs w:val="32"/>
        </w:rPr>
        <w:t>年度预算的</w:t>
      </w:r>
      <w:r>
        <w:rPr>
          <w:rFonts w:hint="eastAsia" w:ascii="仿宋_GB2312" w:eastAsia="仿宋_GB2312" w:cs="DengXian-Regular"/>
          <w:sz w:val="32"/>
          <w:szCs w:val="32"/>
          <w:lang w:val="en-US" w:eastAsia="zh-CN"/>
        </w:rPr>
        <w:t>2</w:t>
      </w:r>
      <w:r>
        <w:rPr>
          <w:rFonts w:hint="eastAsia" w:ascii="仿宋_GB2312" w:hAnsi="Times New Roman" w:eastAsia="仿宋_GB2312" w:cs="DengXian-Regular"/>
          <w:sz w:val="32"/>
          <w:szCs w:val="32"/>
        </w:rPr>
        <w:t>个项目，涉及资金</w:t>
      </w:r>
      <w:r>
        <w:rPr>
          <w:rFonts w:hint="eastAsia" w:ascii="仿宋_GB2312" w:eastAsia="仿宋_GB2312" w:cs="DengXian-Regular"/>
          <w:sz w:val="32"/>
          <w:szCs w:val="32"/>
          <w:lang w:val="en-US" w:eastAsia="zh-CN"/>
        </w:rPr>
        <w:t>9</w:t>
      </w:r>
      <w:r>
        <w:rPr>
          <w:rFonts w:hint="eastAsia" w:ascii="仿宋_GB2312" w:hAnsi="Times New Roman" w:eastAsia="仿宋_GB2312" w:cs="DengXian-Regular"/>
          <w:sz w:val="32"/>
          <w:szCs w:val="32"/>
        </w:rPr>
        <w:t>万元。</w:t>
      </w:r>
    </w:p>
    <w:p w14:paraId="407DB816">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我部门对项目资金支出由业务科室进行把关，科室负责人、主管领导、财务负责人进行集体会签，确保资金专款专用，及时高效。</w:t>
      </w:r>
    </w:p>
    <w:p w14:paraId="02FC3628">
      <w:pPr>
        <w:numPr>
          <w:ilvl w:val="0"/>
          <w:numId w:val="2"/>
        </w:numPr>
        <w:adjustRightInd w:val="0"/>
        <w:snapToGrid w:val="0"/>
        <w:spacing w:line="580" w:lineRule="exact"/>
        <w:ind w:firstLine="643" w:firstLineChars="200"/>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14:paraId="19550543">
      <w:pPr>
        <w:numPr>
          <w:ilvl w:val="0"/>
          <w:numId w:val="0"/>
        </w:numPr>
        <w:adjustRightInd w:val="0"/>
        <w:snapToGrid w:val="0"/>
        <w:spacing w:line="580" w:lineRule="exact"/>
        <w:ind w:firstLine="640" w:firstLineChars="200"/>
        <w:rPr>
          <w:rFonts w:ascii="仿宋" w:hAnsi="仿宋" w:eastAsia="仿宋" w:cs="楷体_GB2312"/>
          <w:b/>
          <w:bCs/>
          <w:sz w:val="32"/>
          <w:szCs w:val="32"/>
        </w:rPr>
      </w:pPr>
      <w:r>
        <w:rPr>
          <w:rFonts w:hint="eastAsia" w:ascii="仿宋_GB2312" w:hAnsi="Times New Roman" w:eastAsia="仿宋_GB2312" w:cs="DengXian-Regular"/>
          <w:sz w:val="32"/>
          <w:szCs w:val="32"/>
          <w:lang w:eastAsia="zh-CN"/>
        </w:rPr>
        <w:t>我单位领导高度重视绩效评价工作，成立绩效评价管理工作领导小组，常务副主任任组长。自评采取成本效益法，在认真收集基础数据及资料来源的前提下对项目的支出绩效情况进行评价，对项目成果进行验收及核实，做到数据真实、资料完整、评价客观。</w:t>
      </w:r>
    </w:p>
    <w:p w14:paraId="7846A149">
      <w:pPr>
        <w:spacing w:line="560" w:lineRule="exact"/>
        <w:ind w:firstLine="480" w:firstLineChars="150"/>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6B7DFBA4">
      <w:pPr>
        <w:numPr>
          <w:ilvl w:val="0"/>
          <w:numId w:val="3"/>
        </w:numPr>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总体绩效目标实现情况</w:t>
      </w:r>
    </w:p>
    <w:p w14:paraId="5FAC0C1C">
      <w:pPr>
        <w:autoSpaceDE w:val="0"/>
        <w:autoSpaceDN w:val="0"/>
        <w:adjustRightInd w:val="0"/>
        <w:ind w:left="198" w:firstLine="643" w:firstLineChars="200"/>
        <w:jc w:val="left"/>
        <w:rPr>
          <w:rFonts w:hint="eastAsia" w:ascii="黑体" w:hAnsi="黑体" w:eastAsia="黑体" w:cs="黑体"/>
          <w:b/>
          <w:sz w:val="32"/>
          <w:szCs w:val="32"/>
        </w:rPr>
      </w:pPr>
      <w:r>
        <w:rPr>
          <w:rFonts w:hint="eastAsia" w:asciiTheme="majorEastAsia" w:hAnsiTheme="majorEastAsia" w:eastAsiaTheme="majorEastAsia" w:cstheme="majorEastAsia"/>
          <w:b/>
          <w:sz w:val="32"/>
          <w:szCs w:val="32"/>
        </w:rPr>
        <w:t>（一）总体绩效目标</w:t>
      </w:r>
      <w:r>
        <w:rPr>
          <w:rFonts w:hint="eastAsia" w:ascii="黑体" w:hAnsi="黑体" w:eastAsia="黑体" w:cs="黑体"/>
          <w:b/>
          <w:sz w:val="32"/>
          <w:szCs w:val="32"/>
        </w:rPr>
        <w:fldChar w:fldCharType="begin"/>
      </w:r>
      <w:r>
        <w:rPr>
          <w:rFonts w:hint="eastAsia" w:ascii="黑体" w:hAnsi="黑体" w:eastAsia="黑体" w:cs="黑体"/>
          <w:b/>
          <w:sz w:val="32"/>
          <w:szCs w:val="32"/>
        </w:rPr>
        <w:instrText xml:space="preserve"> TC </w:instrText>
      </w:r>
      <w:bookmarkStart w:id="0" w:name="_Toc29484628"/>
      <w:r>
        <w:rPr>
          <w:rFonts w:hint="eastAsia" w:ascii="黑体" w:hAnsi="黑体" w:eastAsia="黑体" w:cs="黑体"/>
          <w:b/>
          <w:sz w:val="32"/>
          <w:szCs w:val="32"/>
        </w:rPr>
        <w:instrText xml:space="preserve">总体绩效目标</w:instrText>
      </w:r>
      <w:bookmarkEnd w:id="0"/>
      <w:r>
        <w:rPr>
          <w:rFonts w:hint="eastAsia" w:ascii="黑体" w:hAnsi="黑体" w:eastAsia="黑体" w:cs="黑体"/>
          <w:b/>
          <w:sz w:val="32"/>
          <w:szCs w:val="32"/>
        </w:rPr>
        <w:instrText xml:space="preserve"> \f A \l 1 </w:instrText>
      </w:r>
      <w:r>
        <w:rPr>
          <w:rFonts w:hint="eastAsia" w:ascii="黑体" w:hAnsi="黑体" w:eastAsia="黑体" w:cs="黑体"/>
          <w:b/>
          <w:sz w:val="32"/>
          <w:szCs w:val="32"/>
        </w:rPr>
        <w:fldChar w:fldCharType="end"/>
      </w:r>
    </w:p>
    <w:p w14:paraId="0B6CC752">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全面贯彻党的</w:t>
      </w:r>
      <w:r>
        <w:rPr>
          <w:rFonts w:hint="eastAsia" w:eastAsia="仿宋" w:cs="Times New Roman"/>
          <w:sz w:val="32"/>
          <w:szCs w:val="32"/>
          <w:lang w:val="en-US" w:eastAsia="zh-CN"/>
        </w:rPr>
        <w:t>二十</w:t>
      </w:r>
      <w:r>
        <w:rPr>
          <w:rFonts w:hint="eastAsia" w:ascii="Times New Roman" w:hAnsi="Times New Roman" w:eastAsia="仿宋" w:cs="Times New Roman"/>
          <w:sz w:val="32"/>
          <w:szCs w:val="32"/>
        </w:rPr>
        <w:t>大</w:t>
      </w:r>
      <w:r>
        <w:rPr>
          <w:rFonts w:hint="eastAsia" w:eastAsia="仿宋" w:cs="Times New Roman"/>
          <w:sz w:val="32"/>
          <w:szCs w:val="32"/>
          <w:lang w:val="en-US" w:eastAsia="zh-CN"/>
        </w:rPr>
        <w:t>四中全会</w:t>
      </w:r>
      <w:bookmarkStart w:id="2" w:name="_GoBack"/>
      <w:bookmarkEnd w:id="2"/>
      <w:r>
        <w:rPr>
          <w:rFonts w:hint="eastAsia" w:ascii="Times New Roman" w:hAnsi="Times New Roman" w:eastAsia="仿宋" w:cs="Times New Roman"/>
          <w:sz w:val="32"/>
          <w:szCs w:val="32"/>
        </w:rPr>
        <w:t>精神，坚持以习近平新时代中国特色社会主义思想为统领，扎实推进</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委</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政府工作部署落地落实。认真履行工商联章程，努力做好会员各项服务工作。推进学习培训、商会交流和异地商会建设，积极参政议政和搭建企业融资平台，努力做好非公有制经济人士思想政治工作，全面促进我</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非公有制经济健康发展。</w:t>
      </w:r>
    </w:p>
    <w:p w14:paraId="2F12D5A7">
      <w:pPr>
        <w:autoSpaceDE w:val="0"/>
        <w:autoSpaceDN w:val="0"/>
        <w:adjustRightInd w:val="0"/>
        <w:ind w:firstLine="602" w:firstLineChars="200"/>
        <w:jc w:val="left"/>
        <w:rPr>
          <w:rFonts w:ascii="Times New Roman" w:hAnsi="Times New Roman" w:eastAsia="方正仿宋_GBK" w:cs="Times New Roman"/>
          <w:b/>
          <w:sz w:val="32"/>
          <w:szCs w:val="32"/>
        </w:rPr>
      </w:pPr>
      <w:r>
        <w:rPr>
          <w:rFonts w:hint="eastAsia" w:ascii="宋体" w:hAnsi="宋体" w:cs="宋体"/>
          <w:b/>
          <w:sz w:val="30"/>
          <w:szCs w:val="30"/>
          <w:lang w:eastAsia="zh-CN"/>
        </w:rPr>
        <w:t>（</w:t>
      </w:r>
      <w:r>
        <w:rPr>
          <w:rFonts w:hint="eastAsia" w:ascii="宋体" w:hAnsi="宋体" w:eastAsia="宋体" w:cs="宋体"/>
          <w:b/>
          <w:sz w:val="30"/>
          <w:szCs w:val="30"/>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9"/>
      <w:r>
        <w:rPr>
          <w:rFonts w:hint="eastAsia" w:ascii="Times New Roman" w:hAnsi="Times New Roman" w:eastAsia="方正仿宋_GBK" w:cs="Times New Roman"/>
          <w:b/>
          <w:sz w:val="32"/>
          <w:szCs w:val="32"/>
        </w:rPr>
        <w:instrText xml:space="preserve">分项绩效目标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2EA4D281">
      <w:pPr>
        <w:tabs>
          <w:tab w:val="left" w:pos="2745"/>
        </w:tabs>
        <w:spacing w:line="360" w:lineRule="auto"/>
        <w:ind w:firstLine="640" w:firstLineChars="2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（1）工商联业务经费绩效目标情况</w:t>
      </w:r>
    </w:p>
    <w:p w14:paraId="25DC15E9">
      <w:pPr>
        <w:tabs>
          <w:tab w:val="left" w:pos="2745"/>
        </w:tabs>
        <w:spacing w:line="360" w:lineRule="auto"/>
        <w:ind w:firstLine="640" w:firstLineChars="200"/>
        <w:rPr>
          <w:rFonts w:hint="eastAsia" w:eastAsia="仿宋"/>
          <w:lang w:val="en-US" w:eastAsia="zh-CN"/>
        </w:rPr>
      </w:pPr>
      <w:r>
        <w:rPr>
          <w:rFonts w:hint="eastAsia" w:ascii="仿宋" w:hAnsi="仿宋" w:eastAsia="仿宋" w:cs="仿宋"/>
          <w:b w:val="0"/>
          <w:bCs w:val="0"/>
          <w:sz w:val="32"/>
          <w:szCs w:val="32"/>
        </w:rPr>
        <w:t>绩效目标：</w:t>
      </w:r>
      <w:r>
        <w:rPr>
          <w:rFonts w:hint="eastAsia" w:ascii="仿宋" w:hAnsi="仿宋" w:eastAsia="仿宋" w:cs="仿宋"/>
          <w:b w:val="0"/>
          <w:bCs w:val="0"/>
          <w:sz w:val="32"/>
          <w:szCs w:val="32"/>
          <w:lang w:val="en-US" w:eastAsia="zh-CN"/>
        </w:rPr>
        <w:t>壮大工商联会员队伍，</w:t>
      </w:r>
      <w:r>
        <w:rPr>
          <w:rFonts w:hint="eastAsia" w:ascii="仿宋" w:hAnsi="仿宋" w:eastAsia="仿宋" w:cs="仿宋"/>
          <w:sz w:val="32"/>
          <w:szCs w:val="32"/>
        </w:rPr>
        <w:t>做好企业家教育学习培训会议工作，促进我</w:t>
      </w:r>
      <w:r>
        <w:rPr>
          <w:rFonts w:hint="eastAsia" w:ascii="仿宋" w:hAnsi="仿宋" w:eastAsia="仿宋" w:cs="仿宋"/>
          <w:sz w:val="32"/>
          <w:szCs w:val="32"/>
          <w:lang w:eastAsia="zh-CN"/>
        </w:rPr>
        <w:t>县</w:t>
      </w:r>
      <w:r>
        <w:rPr>
          <w:rFonts w:hint="eastAsia" w:ascii="仿宋" w:hAnsi="仿宋" w:eastAsia="仿宋" w:cs="仿宋"/>
          <w:sz w:val="32"/>
          <w:szCs w:val="32"/>
        </w:rPr>
        <w:t>非公有制经济快速健康发展。发展会员</w:t>
      </w:r>
      <w:r>
        <w:rPr>
          <w:rFonts w:hint="eastAsia" w:ascii="仿宋" w:hAnsi="仿宋" w:eastAsia="仿宋" w:cs="仿宋"/>
          <w:sz w:val="32"/>
          <w:szCs w:val="32"/>
          <w:lang w:val="en-US" w:eastAsia="zh-CN"/>
        </w:rPr>
        <w:t>4</w:t>
      </w:r>
      <w:r>
        <w:rPr>
          <w:rFonts w:hint="eastAsia" w:ascii="仿宋" w:hAnsi="仿宋" w:eastAsia="仿宋" w:cs="仿宋"/>
          <w:sz w:val="32"/>
          <w:szCs w:val="32"/>
        </w:rPr>
        <w:t>个</w:t>
      </w:r>
      <w:r>
        <w:rPr>
          <w:rFonts w:hint="eastAsia" w:ascii="仿宋" w:hAnsi="仿宋" w:eastAsia="仿宋" w:cs="仿宋"/>
          <w:sz w:val="32"/>
          <w:szCs w:val="32"/>
          <w:lang w:eastAsia="zh-CN"/>
        </w:rPr>
        <w:t>；</w:t>
      </w:r>
      <w:r>
        <w:rPr>
          <w:rFonts w:hint="eastAsia" w:ascii="仿宋" w:hAnsi="仿宋" w:eastAsia="仿宋" w:cs="仿宋"/>
          <w:sz w:val="32"/>
          <w:szCs w:val="32"/>
        </w:rPr>
        <w:t>组织商会活动4次</w:t>
      </w:r>
      <w:r>
        <w:rPr>
          <w:rFonts w:hint="eastAsia" w:ascii="仿宋" w:hAnsi="仿宋" w:eastAsia="仿宋" w:cs="仿宋"/>
          <w:sz w:val="32"/>
          <w:szCs w:val="32"/>
          <w:lang w:eastAsia="zh-CN"/>
        </w:rPr>
        <w:t>；</w:t>
      </w:r>
    </w:p>
    <w:p w14:paraId="4C69252C">
      <w:pPr>
        <w:adjustRightInd w:val="0"/>
        <w:snapToGrid w:val="0"/>
        <w:spacing w:line="360" w:lineRule="auto"/>
        <w:ind w:firstLine="640" w:firstLineChars="200"/>
        <w:rPr>
          <w:rFonts w:hint="default" w:ascii="仿宋" w:hAnsi="仿宋" w:eastAsia="仿宋" w:cs="仿宋"/>
          <w:sz w:val="32"/>
          <w:szCs w:val="32"/>
          <w:lang w:val="en-US" w:eastAsia="zh-CN"/>
        </w:rPr>
      </w:pPr>
      <w:r>
        <w:rPr>
          <w:rFonts w:hint="eastAsia" w:ascii="仿宋" w:hAnsi="仿宋" w:eastAsia="仿宋" w:cs="仿宋"/>
          <w:b w:val="0"/>
          <w:bCs w:val="0"/>
          <w:sz w:val="32"/>
          <w:szCs w:val="32"/>
        </w:rPr>
        <w:t>绩效指标：</w:t>
      </w:r>
      <w:r>
        <w:rPr>
          <w:rFonts w:hint="eastAsia" w:ascii="仿宋" w:hAnsi="仿宋" w:eastAsia="仿宋" w:cs="仿宋"/>
          <w:b w:val="0"/>
          <w:bCs w:val="0"/>
          <w:sz w:val="32"/>
          <w:szCs w:val="32"/>
          <w:lang w:val="en-US" w:eastAsia="zh-CN"/>
        </w:rPr>
        <w:t>发展会员4名，</w:t>
      </w:r>
      <w:r>
        <w:rPr>
          <w:rFonts w:hint="eastAsia" w:ascii="仿宋" w:hAnsi="仿宋" w:eastAsia="仿宋" w:cs="仿宋"/>
          <w:bCs/>
          <w:sz w:val="32"/>
          <w:szCs w:val="32"/>
        </w:rPr>
        <w:t>推</w:t>
      </w:r>
      <w:r>
        <w:rPr>
          <w:rFonts w:hint="eastAsia" w:ascii="仿宋" w:hAnsi="仿宋" w:eastAsia="仿宋" w:cs="仿宋"/>
          <w:sz w:val="32"/>
          <w:szCs w:val="32"/>
        </w:rPr>
        <w:t>进学习培训、商会交流和异地商会建设，组织企业家培训</w:t>
      </w:r>
      <w:r>
        <w:rPr>
          <w:rFonts w:hint="eastAsia" w:ascii="仿宋" w:hAnsi="仿宋" w:eastAsia="仿宋" w:cs="仿宋"/>
          <w:sz w:val="32"/>
          <w:szCs w:val="32"/>
          <w:lang w:val="en-US" w:eastAsia="zh-CN"/>
        </w:rPr>
        <w:t>3</w:t>
      </w:r>
      <w:r>
        <w:rPr>
          <w:rFonts w:hint="eastAsia" w:ascii="仿宋" w:hAnsi="仿宋" w:eastAsia="仿宋" w:cs="仿宋"/>
          <w:sz w:val="32"/>
          <w:szCs w:val="32"/>
        </w:rPr>
        <w:t>次，参训企业家≥90%。外出学习考察1次。</w:t>
      </w:r>
    </w:p>
    <w:p w14:paraId="6A8A8849">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_GB2312" w:hAnsi="Times New Roman" w:eastAsia="仿宋_GB2312" w:cs="DengXian-Regular"/>
          <w:sz w:val="32"/>
          <w:szCs w:val="32"/>
          <w:lang w:eastAsia="zh-CN"/>
        </w:rPr>
        <w:t>（2）</w:t>
      </w:r>
      <w:r>
        <w:rPr>
          <w:rFonts w:hint="eastAsia" w:ascii="仿宋" w:hAnsi="仿宋" w:eastAsia="仿宋" w:cs="仿宋"/>
          <w:sz w:val="32"/>
          <w:szCs w:val="32"/>
          <w:lang w:val="en-US" w:eastAsia="zh-CN"/>
        </w:rPr>
        <w:t>专家决策咨询委员会费用绩效目标情况</w:t>
      </w:r>
    </w:p>
    <w:p w14:paraId="343AC397">
      <w:pPr>
        <w:adjustRightInd w:val="0"/>
        <w:snapToGrid w:val="0"/>
        <w:spacing w:line="580" w:lineRule="exact"/>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绩效目标：为我县民营经济发展建言献策，为企业发展提供服务。</w:t>
      </w:r>
    </w:p>
    <w:p w14:paraId="7D0CF776">
      <w:pPr>
        <w:adjustRightInd w:val="0"/>
        <w:snapToGrid w:val="0"/>
        <w:spacing w:line="580" w:lineRule="exact"/>
        <w:ind w:firstLine="640" w:firstLineChars="200"/>
        <w:rPr>
          <w:rFonts w:hint="eastAsia"/>
        </w:rPr>
      </w:pPr>
      <w:r>
        <w:rPr>
          <w:rFonts w:hint="eastAsia" w:ascii="仿宋" w:hAnsi="仿宋" w:eastAsia="仿宋" w:cs="仿宋"/>
          <w:b w:val="0"/>
          <w:bCs w:val="0"/>
          <w:sz w:val="32"/>
          <w:szCs w:val="32"/>
          <w:lang w:val="en-US" w:eastAsia="zh-CN"/>
        </w:rPr>
        <w:t>绩效指标：提供专家决策咨询服务，全年开展座谈会6次，使企业发展得到政策保障。圆满完成绩效目标任务。</w:t>
      </w:r>
    </w:p>
    <w:p w14:paraId="54578673">
      <w:pPr>
        <w:spacing w:line="560" w:lineRule="exact"/>
        <w:rPr>
          <w:rFonts w:ascii="黑体" w:hAnsi="黑体" w:eastAsia="黑体"/>
          <w:sz w:val="32"/>
          <w:szCs w:val="32"/>
        </w:rPr>
      </w:pPr>
      <w:r>
        <w:rPr>
          <w:rFonts w:hint="eastAsia" w:ascii="黑体" w:hAnsi="黑体" w:eastAsia="黑体"/>
          <w:sz w:val="32"/>
          <w:szCs w:val="32"/>
        </w:rPr>
        <w:t>四、评价结论和评价等级</w:t>
      </w:r>
    </w:p>
    <w:p w14:paraId="4A34A19C">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全年共实施</w:t>
      </w:r>
      <w:r>
        <w:rPr>
          <w:rFonts w:hint="eastAsia" w:ascii="仿宋_GB2312" w:eastAsia="仿宋_GB2312" w:cs="DengXian-Regular"/>
          <w:sz w:val="32"/>
          <w:szCs w:val="32"/>
          <w:lang w:val="en-US" w:eastAsia="zh-CN"/>
        </w:rPr>
        <w:t>2</w:t>
      </w:r>
      <w:r>
        <w:rPr>
          <w:rFonts w:hint="eastAsia" w:ascii="仿宋_GB2312" w:hAnsi="Times New Roman" w:eastAsia="仿宋_GB2312" w:cs="DengXian-Regular"/>
          <w:sz w:val="32"/>
          <w:szCs w:val="32"/>
          <w:lang w:val="en-US" w:eastAsia="zh-CN"/>
        </w:rPr>
        <w:t>个</w:t>
      </w:r>
      <w:r>
        <w:rPr>
          <w:rFonts w:hint="eastAsia" w:ascii="仿宋_GB2312" w:hAnsi="Times New Roman" w:eastAsia="仿宋_GB2312" w:cs="DengXian-Regular"/>
          <w:sz w:val="32"/>
          <w:szCs w:val="32"/>
          <w:lang w:eastAsia="zh-CN"/>
        </w:rPr>
        <w:t>项目（</w:t>
      </w:r>
      <w:r>
        <w:rPr>
          <w:rFonts w:hint="eastAsia" w:ascii="仿宋_GB2312" w:eastAsia="仿宋_GB2312" w:cs="DengXian-Regular"/>
          <w:sz w:val="32"/>
          <w:szCs w:val="32"/>
          <w:lang w:val="en-US" w:eastAsia="zh-CN"/>
        </w:rPr>
        <w:t>工商联业务经费项目评价得分100分，专家决策咨询委员会经费项目评价得分100分</w:t>
      </w:r>
      <w:r>
        <w:rPr>
          <w:rFonts w:hint="eastAsia" w:ascii="仿宋_GB2312" w:hAnsi="Times New Roman" w:eastAsia="仿宋_GB2312" w:cs="DengXian-Regular"/>
          <w:sz w:val="32"/>
          <w:szCs w:val="32"/>
          <w:lang w:eastAsia="zh-CN"/>
        </w:rPr>
        <w:t>），综合绩效评价得分100分，综合绩效评价等级为“优”。</w:t>
      </w:r>
    </w:p>
    <w:p w14:paraId="473C4B39">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FCA4C34">
      <w:pPr>
        <w:spacing w:line="560" w:lineRule="exact"/>
        <w:ind w:firstLine="643" w:firstLineChars="200"/>
        <w:rPr>
          <w:rFonts w:hint="eastAsia" w:ascii="仿宋" w:hAnsi="仿宋" w:eastAsia="仿宋"/>
          <w:b/>
          <w:bCs/>
          <w:sz w:val="32"/>
          <w:szCs w:val="32"/>
        </w:rPr>
      </w:pPr>
      <w:r>
        <w:rPr>
          <w:rFonts w:hint="eastAsia" w:ascii="仿宋" w:hAnsi="仿宋" w:eastAsia="仿宋"/>
          <w:b/>
          <w:bCs/>
          <w:sz w:val="32"/>
          <w:szCs w:val="32"/>
        </w:rPr>
        <w:t>（一）存在的主要问题</w:t>
      </w:r>
    </w:p>
    <w:p w14:paraId="202AE62A">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从绩效自评结果来看，部门年初绩效目标设定质量较好，清晰明确，但有些存在一定片面性，具体的绩效指标设定不够全面完整、科学合理，可操作性不强，绩效标准也不够恰当适宜，评价难以用客观数据显示，主要原因是有些项目的不确定性，造成绩效指标难以用数据准确表达，难以精准的体现社会效益和经济效益。</w:t>
      </w:r>
    </w:p>
    <w:p w14:paraId="4F8E52D6">
      <w:pPr>
        <w:numPr>
          <w:ilvl w:val="0"/>
          <w:numId w:val="3"/>
        </w:numPr>
        <w:spacing w:line="560" w:lineRule="exact"/>
        <w:ind w:left="0" w:leftChars="0" w:firstLine="643" w:firstLineChars="200"/>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14:paraId="23CA6BEF">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改进措施：一是加强预算执行的计划性，提高部门支出进度的均衡程度。二是加强对项目预算资金支出的监督检查工作，确保资金使用合法合规。三是加强对财务人员的培训工作，同时及时了解存在的问题，有疑问事项及时与财政等部门沟通解决，提高财务管理工作的规范性。四是加强项目资金和绩效目标指标的动态管理，持续改进。加大对单位预算项目管理工作的指导力度，及时了解项目情况，推进各预算单位工作任务的及时完成。</w:t>
      </w:r>
    </w:p>
    <w:p w14:paraId="4ECD4E95">
      <w:pPr>
        <w:pStyle w:val="2"/>
        <w:numPr>
          <w:ilvl w:val="0"/>
          <w:numId w:val="0"/>
        </w:numPr>
        <w:ind w:leftChars="200"/>
      </w:pPr>
    </w:p>
    <w:p w14:paraId="39112B79">
      <w:pPr>
        <w:numPr>
          <w:ilvl w:val="0"/>
          <w:numId w:val="4"/>
        </w:numPr>
        <w:adjustRightInd w:val="0"/>
        <w:snapToGrid w:val="0"/>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评价工作组人员名单及签字</w:t>
      </w:r>
    </w:p>
    <w:p w14:paraId="7E49B3A8">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p>
    <w:p w14:paraId="570D8AF6">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王亚军   工商联副主席</w:t>
      </w:r>
    </w:p>
    <w:p w14:paraId="28FADAB7">
      <w:pPr>
        <w:numPr>
          <w:ilvl w:val="0"/>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张夕艳   工商联科员</w:t>
      </w:r>
    </w:p>
    <w:p w14:paraId="11B6E003">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张  博   工商联科员</w:t>
      </w:r>
    </w:p>
    <w:p w14:paraId="3F1A60C4">
      <w:pPr>
        <w:pStyle w:val="2"/>
        <w:numPr>
          <w:ilvl w:val="0"/>
          <w:numId w:val="0"/>
        </w:numPr>
      </w:pPr>
    </w:p>
    <w:p w14:paraId="5BB4C576">
      <w:pPr>
        <w:rPr>
          <w:rFonts w:hint="eastAsia" w:ascii="黑体" w:hAnsi="黑体" w:eastAsia="黑体"/>
          <w:sz w:val="32"/>
          <w:szCs w:val="32"/>
        </w:rPr>
      </w:pPr>
    </w:p>
    <w:p w14:paraId="13CB2BD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6535504-D781-439A-A5CB-3DA2F137F62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87CD900B-E416-4699-B9BC-45FCD917731A}"/>
  </w:font>
  <w:font w:name="方正仿宋_GBK">
    <w:panose1 w:val="02000000000000000000"/>
    <w:charset w:val="86"/>
    <w:family w:val="auto"/>
    <w:pitch w:val="default"/>
    <w:sig w:usb0="A00002BF" w:usb1="38CF7CFA" w:usb2="00082016" w:usb3="00000000" w:csb0="00040001" w:csb1="00000000"/>
    <w:embedRegular r:id="rId3" w:fontKey="{124B1B13-F931-4273-B018-801C062C1D4B}"/>
  </w:font>
  <w:font w:name="方正书宋_GBK">
    <w:altName w:val="微软雅黑"/>
    <w:panose1 w:val="00000000000000000000"/>
    <w:charset w:val="00"/>
    <w:family w:val="auto"/>
    <w:pitch w:val="default"/>
    <w:sig w:usb0="00000000" w:usb1="00000000" w:usb2="00000000" w:usb3="00000000" w:csb0="00000000" w:csb1="00000000"/>
    <w:embedRegular r:id="rId4" w:fontKey="{69E09F23-5626-4943-96EA-B36B6EF28E21}"/>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embedRegular r:id="rId5" w:fontKey="{783FBB8C-5C7F-44A6-A18D-CA1CB79B45F6}"/>
  </w:font>
  <w:font w:name="仿宋">
    <w:panose1 w:val="02010609060101010101"/>
    <w:charset w:val="86"/>
    <w:family w:val="auto"/>
    <w:pitch w:val="default"/>
    <w:sig w:usb0="800002BF" w:usb1="38CF7CFA" w:usb2="00000016" w:usb3="00000000" w:csb0="00040001" w:csb1="00000000"/>
    <w:embedRegular r:id="rId6" w:fontKey="{2B75AF42-D1AB-495F-9FA5-4F1AC85536A6}"/>
  </w:font>
  <w:font w:name="华文楷体">
    <w:panose1 w:val="02010600040101010101"/>
    <w:charset w:val="86"/>
    <w:family w:val="auto"/>
    <w:pitch w:val="default"/>
    <w:sig w:usb0="00000287" w:usb1="080F0000" w:usb2="00000000" w:usb3="00000000" w:csb0="0004009F" w:csb1="DFD70000"/>
    <w:embedRegular r:id="rId7" w:fontKey="{896AB73A-D197-4B41-A283-DE53913FD6E4}"/>
  </w:font>
  <w:font w:name="楷体_GB2312">
    <w:altName w:val="楷体"/>
    <w:panose1 w:val="02010609030101010101"/>
    <w:charset w:val="86"/>
    <w:family w:val="auto"/>
    <w:pitch w:val="default"/>
    <w:sig w:usb0="00000000" w:usb1="00000000" w:usb2="00000000" w:usb3="00000000" w:csb0="00040000" w:csb1="00000000"/>
    <w:embedRegular r:id="rId8" w:fontKey="{E816990A-4D78-4B86-96C4-EFFB66D7D884}"/>
  </w:font>
  <w:font w:name="楷体">
    <w:panose1 w:val="02010609060101010101"/>
    <w:charset w:val="86"/>
    <w:family w:val="auto"/>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embedRegular r:id="rId9" w:fontKey="{CBE12F49-85F0-4954-9718-9011355E958E}"/>
  </w:font>
  <w:font w:name="方正小标宋_GBK">
    <w:panose1 w:val="02000000000000000000"/>
    <w:charset w:val="86"/>
    <w:family w:val="auto"/>
    <w:pitch w:val="default"/>
    <w:sig w:usb0="A00002BF" w:usb1="38CF7CFA" w:usb2="00082016" w:usb3="00000000" w:csb0="00040001" w:csb1="00000000"/>
    <w:embedRegular r:id="rId10" w:fontKey="{727619D5-DBAC-45A7-94CA-7F832E56697E}"/>
  </w:font>
  <w:font w:name="DengXian-Regular">
    <w:altName w:val="微软雅黑"/>
    <w:panose1 w:val="00000000000000000000"/>
    <w:charset w:val="00"/>
    <w:family w:val="auto"/>
    <w:pitch w:val="default"/>
    <w:sig w:usb0="00000000" w:usb1="00000000" w:usb2="00000010" w:usb3="00000000" w:csb0="00040001" w:csb1="00000000"/>
    <w:embedRegular r:id="rId11" w:fontKey="{5FF5A187-F42F-4FA1-B90F-4E6EFD24E388}"/>
  </w:font>
  <w:font w:name="KSOFE44F9426">
    <w:panose1 w:val="02010609060101010101"/>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B63EB1"/>
    <w:multiLevelType w:val="singleLevel"/>
    <w:tmpl w:val="A5B63EB1"/>
    <w:lvl w:ilvl="0" w:tentative="0">
      <w:start w:val="2"/>
      <w:numFmt w:val="chineseCounting"/>
      <w:suff w:val="nothing"/>
      <w:lvlText w:val="（%1）"/>
      <w:lvlJc w:val="left"/>
      <w:rPr>
        <w:rFonts w:hint="eastAsia"/>
      </w:rPr>
    </w:lvl>
  </w:abstractNum>
  <w:abstractNum w:abstractNumId="1">
    <w:nsid w:val="B3FD47E5"/>
    <w:multiLevelType w:val="singleLevel"/>
    <w:tmpl w:val="B3FD47E5"/>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abstractNum w:abstractNumId="3">
    <w:nsid w:val="7034E20A"/>
    <w:multiLevelType w:val="singleLevel"/>
    <w:tmpl w:val="7034E20A"/>
    <w:lvl w:ilvl="0" w:tentative="0">
      <w:start w:val="6"/>
      <w:numFmt w:val="chineseCounting"/>
      <w:suff w:val="nothing"/>
      <w:lvlText w:val="%1、"/>
      <w:lvlJc w:val="left"/>
      <w:rPr>
        <w:rFonts w:hint="eastAsia"/>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xMDdmNTMwYWQ2MzQ5ZDBmMzM2MWMzYjM4YjhlMTQifQ=="/>
  </w:docVars>
  <w:rsids>
    <w:rsidRoot w:val="6D775AEB"/>
    <w:rsid w:val="16013F82"/>
    <w:rsid w:val="172411E0"/>
    <w:rsid w:val="18E735E6"/>
    <w:rsid w:val="21263F49"/>
    <w:rsid w:val="256C658B"/>
    <w:rsid w:val="375B212C"/>
    <w:rsid w:val="37FE39FA"/>
    <w:rsid w:val="4D3B0C60"/>
    <w:rsid w:val="59C20BDE"/>
    <w:rsid w:val="5E95659C"/>
    <w:rsid w:val="6D775AEB"/>
    <w:rsid w:val="72926DB0"/>
    <w:rsid w:val="756D7A06"/>
    <w:rsid w:val="782415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4"/>
    <w:basedOn w:val="1"/>
    <w:next w:val="1"/>
    <w:autoRedefine/>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index 9"/>
    <w:basedOn w:val="1"/>
    <w:next w:val="1"/>
    <w:autoRedefine/>
    <w:qFormat/>
    <w:uiPriority w:val="0"/>
    <w:pPr>
      <w:ind w:left="3360"/>
      <w:jc w:val="left"/>
    </w:pPr>
  </w:style>
  <w:style w:type="paragraph" w:customStyle="1" w:styleId="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7">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8">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9">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character" w:customStyle="1" w:styleId="10">
    <w:name w:val="fontstyle01"/>
    <w:autoRedefine/>
    <w:qFormat/>
    <w:uiPriority w:val="0"/>
    <w:rPr>
      <w:rFonts w:hint="eastAsia" w:ascii="仿宋_GB2312" w:eastAsia="仿宋_GB2312"/>
      <w:color w:val="000000"/>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571</Words>
  <Characters>610</Characters>
  <Lines>0</Lines>
  <Paragraphs>0</Paragraphs>
  <TotalTime>44</TotalTime>
  <ScaleCrop>false</ScaleCrop>
  <LinksUpToDate>false</LinksUpToDate>
  <CharactersWithSpaces>612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2022-05-13T03:33:00Z</dcterms:created>
  <dc:creator>Bobo</dc:creator>
  <cp:lastModifiedBy>Bobo</cp:lastModifiedBy>
  <cp:lastPrinted>2023-04-27T07:48:00Z</cp:lastPrinted>
  <dcterms:modified xsi:type="dcterms:W3CDTF">2026-05-12T02:20:45Z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84B575D8A899448581806A275D09610D_13</vt:lpwstr>
  </property>
  <property fmtid="{D5CDD505-2E9C-101B-9397-08002B2CF9AE}" pid="4" name="KSOTemplateDocerSaveRecord">
    <vt:lpwstr>eyJoZGlkIjoiZmVhMjUxOGNjYTI0ZWY5Y2UxYWNmOTU1NjQxZjVjZWUiLCJ1c2VySWQiOiIyMzQxNDc1MjcifQ==</vt:lpwstr>
  </property>
</Properties>
</file>