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b/>
          <w:sz w:val="44"/>
          <w:szCs w:val="44"/>
          <w:lang w:val="en-US" w:eastAsia="zh-CN"/>
        </w:rPr>
      </w:pPr>
      <w:r>
        <w:rPr>
          <w:rFonts w:hint="eastAsia" w:ascii="宋体" w:hAnsi="宋体"/>
          <w:b/>
          <w:sz w:val="44"/>
          <w:szCs w:val="44"/>
        </w:rPr>
        <w:t>元氏县</w:t>
      </w:r>
      <w:r>
        <w:rPr>
          <w:rFonts w:hint="eastAsia" w:ascii="宋体" w:hAnsi="宋体"/>
          <w:b/>
          <w:sz w:val="44"/>
          <w:szCs w:val="44"/>
          <w:lang w:val="en-US" w:eastAsia="zh-CN"/>
        </w:rPr>
        <w:t>财政局</w:t>
      </w:r>
    </w:p>
    <w:p>
      <w:pPr>
        <w:jc w:val="center"/>
        <w:rPr>
          <w:rFonts w:hint="eastAsia" w:ascii="宋体" w:hAnsi="宋体"/>
          <w:b/>
          <w:sz w:val="44"/>
          <w:szCs w:val="44"/>
        </w:rPr>
      </w:pPr>
      <w:r>
        <w:rPr>
          <w:rFonts w:hint="eastAsia" w:ascii="宋体" w:hAnsi="宋体"/>
          <w:b/>
          <w:sz w:val="44"/>
          <w:szCs w:val="44"/>
          <w:lang w:eastAsia="zh-CN"/>
        </w:rPr>
        <w:t>202</w:t>
      </w:r>
      <w:r>
        <w:rPr>
          <w:rFonts w:hint="eastAsia" w:ascii="宋体" w:hAnsi="宋体"/>
          <w:b/>
          <w:sz w:val="44"/>
          <w:szCs w:val="44"/>
          <w:lang w:val="en-US" w:eastAsia="zh-CN"/>
        </w:rPr>
        <w:t>6</w:t>
      </w:r>
      <w:r>
        <w:rPr>
          <w:rFonts w:hint="eastAsia" w:ascii="宋体" w:hAnsi="宋体"/>
          <w:b/>
          <w:sz w:val="44"/>
          <w:szCs w:val="44"/>
          <w:lang w:eastAsia="zh-CN"/>
        </w:rPr>
        <w:t>年</w:t>
      </w:r>
      <w:r>
        <w:rPr>
          <w:rFonts w:hint="eastAsia" w:ascii="宋体" w:hAnsi="宋体"/>
          <w:b/>
          <w:sz w:val="44"/>
          <w:szCs w:val="44"/>
        </w:rPr>
        <w:t>政府预算信息公开相关事项说明</w:t>
      </w:r>
    </w:p>
    <w:p>
      <w:pPr>
        <w:ind w:firstLine="883" w:firstLineChars="200"/>
        <w:jc w:val="both"/>
        <w:rPr>
          <w:rFonts w:hint="eastAsia" w:ascii="宋体" w:hAnsi="宋体"/>
          <w:b/>
          <w:sz w:val="44"/>
          <w:szCs w:val="44"/>
        </w:rPr>
      </w:pPr>
    </w:p>
    <w:p>
      <w:pPr>
        <w:ind w:firstLine="643" w:firstLineChars="200"/>
        <w:jc w:val="both"/>
        <w:rPr>
          <w:rFonts w:ascii="黑体" w:hAnsi="宋体" w:eastAsia="黑体"/>
          <w:b/>
          <w:sz w:val="32"/>
          <w:szCs w:val="32"/>
          <w:highlight w:val="none"/>
        </w:rPr>
      </w:pPr>
      <w:r>
        <w:rPr>
          <w:rFonts w:hint="eastAsia" w:ascii="黑体" w:hAnsi="宋体" w:eastAsia="黑体"/>
          <w:b/>
          <w:sz w:val="32"/>
          <w:szCs w:val="32"/>
          <w:highlight w:val="none"/>
        </w:rPr>
        <w:t>一、关于债务预算的说明</w:t>
      </w:r>
    </w:p>
    <w:p>
      <w:pPr>
        <w:ind w:firstLine="645"/>
        <w:rPr>
          <w:rFonts w:hint="eastAsia" w:ascii="仿宋_GB2312" w:hAnsi="Calibri" w:eastAsia="仿宋_GB2312" w:cs="宋体"/>
          <w:kern w:val="0"/>
          <w:sz w:val="32"/>
          <w:szCs w:val="32"/>
          <w:highlight w:val="none"/>
        </w:rPr>
      </w:pPr>
      <w:r>
        <w:rPr>
          <w:rFonts w:hint="eastAsia" w:ascii="仿宋_GB2312" w:hAnsi="Calibri" w:eastAsia="仿宋_GB2312" w:cs="宋体"/>
          <w:kern w:val="0"/>
          <w:sz w:val="32"/>
          <w:szCs w:val="32"/>
          <w:highlight w:val="none"/>
        </w:rPr>
        <w:t>2025年政府债务限额为749255.47万元，政府债务余额为735071.41万元。2026年安排地方政府债务还本付息资金30970万元，其中：一般债券到期本金0万元，专项债券到期本金9095万元；一般债券付息3440万元，专项债券付息18435万元。</w:t>
      </w:r>
    </w:p>
    <w:p>
      <w:pPr>
        <w:ind w:firstLine="645"/>
        <w:rPr>
          <w:rFonts w:ascii="黑体" w:hAnsi="宋体" w:eastAsia="黑体"/>
          <w:b/>
          <w:sz w:val="32"/>
          <w:szCs w:val="32"/>
          <w:highlight w:val="none"/>
        </w:rPr>
      </w:pPr>
      <w:r>
        <w:rPr>
          <w:rFonts w:hint="eastAsia" w:ascii="黑体" w:hAnsi="宋体" w:eastAsia="黑体"/>
          <w:b/>
          <w:sz w:val="32"/>
          <w:szCs w:val="32"/>
          <w:highlight w:val="none"/>
        </w:rPr>
        <w:t>二、</w:t>
      </w:r>
      <w:r>
        <w:rPr>
          <w:rFonts w:hint="eastAsia" w:ascii="黑体" w:hAnsi="宋体" w:eastAsia="黑体"/>
          <w:b/>
          <w:sz w:val="32"/>
          <w:szCs w:val="32"/>
          <w:highlight w:val="none"/>
          <w:lang w:eastAsia="zh-CN"/>
        </w:rPr>
        <w:t>202</w:t>
      </w:r>
      <w:r>
        <w:rPr>
          <w:rFonts w:hint="eastAsia" w:ascii="黑体" w:hAnsi="宋体" w:eastAsia="黑体"/>
          <w:b/>
          <w:sz w:val="32"/>
          <w:szCs w:val="32"/>
          <w:highlight w:val="none"/>
          <w:lang w:val="en-US" w:eastAsia="zh-CN"/>
        </w:rPr>
        <w:t>6</w:t>
      </w:r>
      <w:r>
        <w:rPr>
          <w:rFonts w:hint="eastAsia" w:ascii="黑体" w:hAnsi="宋体" w:eastAsia="黑体"/>
          <w:b/>
          <w:sz w:val="32"/>
          <w:szCs w:val="32"/>
          <w:highlight w:val="none"/>
          <w:lang w:eastAsia="zh-CN"/>
        </w:rPr>
        <w:t>年</w:t>
      </w:r>
      <w:r>
        <w:rPr>
          <w:rFonts w:hint="eastAsia" w:ascii="黑体" w:hAnsi="宋体" w:eastAsia="黑体"/>
          <w:b/>
          <w:sz w:val="32"/>
          <w:szCs w:val="32"/>
          <w:highlight w:val="none"/>
        </w:rPr>
        <w:t>财政转移支付情况说明</w:t>
      </w:r>
    </w:p>
    <w:p>
      <w:pPr>
        <w:numPr>
          <w:ilvl w:val="0"/>
          <w:numId w:val="1"/>
        </w:numPr>
        <w:ind w:firstLine="640" w:firstLineChars="200"/>
        <w:rPr>
          <w:rFonts w:ascii="仿宋_GB2312" w:hAnsi="宋体" w:eastAsia="仿宋_GB2312"/>
          <w:sz w:val="32"/>
          <w:szCs w:val="32"/>
          <w:highlight w:val="none"/>
        </w:rPr>
      </w:pPr>
      <w:r>
        <w:rPr>
          <w:rFonts w:hint="eastAsia" w:ascii="仿宋_GB2312" w:hAnsi="宋体" w:eastAsia="仿宋_GB2312"/>
          <w:sz w:val="32"/>
          <w:szCs w:val="32"/>
          <w:highlight w:val="none"/>
        </w:rPr>
        <w:t>一般公共预算上级转移支付收入</w:t>
      </w:r>
      <w:r>
        <w:rPr>
          <w:rFonts w:hint="eastAsia" w:ascii="仿宋_GB2312" w:hAnsi="宋体" w:eastAsia="仿宋_GB2312"/>
          <w:sz w:val="32"/>
          <w:szCs w:val="32"/>
          <w:highlight w:val="none"/>
          <w:lang w:val="en-US" w:eastAsia="zh-CN"/>
        </w:rPr>
        <w:t>137797</w:t>
      </w:r>
      <w:r>
        <w:rPr>
          <w:rFonts w:hint="eastAsia" w:ascii="仿宋_GB2312" w:hAnsi="宋体" w:eastAsia="仿宋_GB2312"/>
          <w:sz w:val="32"/>
          <w:szCs w:val="32"/>
          <w:highlight w:val="none"/>
        </w:rPr>
        <w:t>万元。其中：</w:t>
      </w:r>
      <w:r>
        <w:rPr>
          <w:rFonts w:hint="eastAsia" w:ascii="仿宋_GB2312" w:hAnsi="宋体" w:eastAsia="仿宋_GB2312"/>
          <w:sz w:val="32"/>
          <w:szCs w:val="32"/>
          <w:highlight w:val="none"/>
          <w:lang w:val="en-US" w:eastAsia="zh-CN"/>
        </w:rPr>
        <w:t>返还性收入13347万元，</w:t>
      </w:r>
      <w:r>
        <w:rPr>
          <w:rFonts w:hint="eastAsia" w:ascii="仿宋_GB2312" w:hAnsi="宋体" w:eastAsia="仿宋_GB2312"/>
          <w:sz w:val="32"/>
          <w:szCs w:val="32"/>
          <w:highlight w:val="none"/>
        </w:rPr>
        <w:t>一般性转移支付</w:t>
      </w:r>
      <w:r>
        <w:rPr>
          <w:rFonts w:hint="eastAsia" w:ascii="仿宋_GB2312" w:hAnsi="宋体" w:eastAsia="仿宋_GB2312"/>
          <w:sz w:val="32"/>
          <w:szCs w:val="32"/>
          <w:highlight w:val="none"/>
          <w:lang w:val="en-US" w:eastAsia="zh-CN"/>
        </w:rPr>
        <w:t>119857</w:t>
      </w:r>
      <w:r>
        <w:rPr>
          <w:rFonts w:hint="eastAsia" w:ascii="仿宋_GB2312" w:hAnsi="宋体" w:eastAsia="仿宋_GB2312"/>
          <w:sz w:val="32"/>
          <w:szCs w:val="32"/>
          <w:highlight w:val="none"/>
        </w:rPr>
        <w:t>万元，专项转移支付</w:t>
      </w:r>
      <w:r>
        <w:rPr>
          <w:rFonts w:hint="eastAsia" w:ascii="仿宋_GB2312" w:hAnsi="宋体" w:eastAsia="仿宋_GB2312"/>
          <w:sz w:val="32"/>
          <w:szCs w:val="32"/>
          <w:highlight w:val="none"/>
          <w:lang w:val="en-US" w:eastAsia="zh-CN"/>
        </w:rPr>
        <w:t>4593</w:t>
      </w:r>
      <w:r>
        <w:rPr>
          <w:rFonts w:hint="eastAsia" w:ascii="仿宋_GB2312" w:hAnsi="宋体" w:eastAsia="仿宋_GB2312"/>
          <w:sz w:val="32"/>
          <w:szCs w:val="32"/>
          <w:highlight w:val="none"/>
        </w:rPr>
        <w:t>万元。</w:t>
      </w:r>
    </w:p>
    <w:p>
      <w:pPr>
        <w:numPr>
          <w:ilvl w:val="0"/>
          <w:numId w:val="1"/>
        </w:numPr>
        <w:ind w:left="0" w:leftChars="0" w:firstLine="640" w:firstLineChars="200"/>
        <w:rPr>
          <w:rFonts w:hint="eastAsia" w:ascii="仿宋_GB2312" w:hAnsi="宋体" w:eastAsia="仿宋_GB2312"/>
          <w:sz w:val="32"/>
          <w:szCs w:val="32"/>
          <w:highlight w:val="none"/>
        </w:rPr>
      </w:pPr>
      <w:r>
        <w:rPr>
          <w:rFonts w:hint="eastAsia" w:ascii="仿宋_GB2312" w:hAnsi="宋体" w:eastAsia="仿宋_GB2312"/>
          <w:sz w:val="32"/>
          <w:szCs w:val="32"/>
          <w:highlight w:val="none"/>
        </w:rPr>
        <w:t>政府性基金上级转移支付收入</w:t>
      </w:r>
      <w:r>
        <w:rPr>
          <w:rFonts w:hint="eastAsia" w:ascii="仿宋_GB2312" w:hAnsi="宋体" w:eastAsia="仿宋_GB2312"/>
          <w:sz w:val="32"/>
          <w:szCs w:val="32"/>
          <w:highlight w:val="none"/>
          <w:lang w:val="en-US" w:eastAsia="zh-CN"/>
        </w:rPr>
        <w:t>7649</w:t>
      </w:r>
      <w:r>
        <w:rPr>
          <w:rFonts w:hint="eastAsia" w:ascii="仿宋_GB2312" w:hAnsi="宋体" w:eastAsia="仿宋_GB2312"/>
          <w:sz w:val="32"/>
          <w:szCs w:val="32"/>
          <w:highlight w:val="none"/>
        </w:rPr>
        <w:t>万元。</w:t>
      </w:r>
    </w:p>
    <w:p>
      <w:pPr>
        <w:ind w:firstLine="640" w:firstLineChars="200"/>
        <w:rPr>
          <w:rFonts w:hint="default" w:eastAsia="仿宋_GB2312"/>
          <w:lang w:val="en-US" w:eastAsia="zh-CN"/>
        </w:rPr>
      </w:pPr>
      <w:r>
        <w:rPr>
          <w:rFonts w:hint="eastAsia" w:ascii="仿宋_GB2312" w:hAnsi="宋体" w:eastAsia="仿宋_GB2312"/>
          <w:sz w:val="32"/>
          <w:szCs w:val="32"/>
          <w:highlight w:val="none"/>
        </w:rPr>
        <w:t>3.</w:t>
      </w:r>
      <w:r>
        <w:rPr>
          <w:rFonts w:hint="eastAsia" w:ascii="仿宋_GB2312" w:hAnsi="宋体" w:eastAsia="仿宋_GB2312"/>
          <w:sz w:val="32"/>
          <w:szCs w:val="32"/>
          <w:highlight w:val="none"/>
          <w:lang w:val="en-US" w:eastAsia="zh-CN"/>
        </w:rPr>
        <w:t>2026年省对我县国有资本经营预算专项转移支付共计7万元</w:t>
      </w:r>
      <w:r>
        <w:rPr>
          <w:rFonts w:hint="eastAsia" w:ascii="仿宋_GB2312" w:hAnsi="宋体" w:eastAsia="仿宋_GB2312"/>
          <w:sz w:val="32"/>
          <w:szCs w:val="32"/>
          <w:highlight w:val="none"/>
        </w:rPr>
        <w:t>。</w:t>
      </w:r>
      <w:r>
        <w:rPr>
          <w:rFonts w:hint="eastAsia" w:ascii="仿宋_GB2312" w:hAnsi="宋体" w:eastAsia="仿宋_GB2312"/>
          <w:sz w:val="32"/>
          <w:szCs w:val="32"/>
          <w:highlight w:val="none"/>
          <w:lang w:val="en-US" w:eastAsia="zh-CN"/>
        </w:rPr>
        <w:t>我县国有资本经营预算专项转移支付无对下转移支付。</w:t>
      </w:r>
    </w:p>
    <w:p>
      <w:pPr>
        <w:ind w:firstLine="640" w:firstLineChars="200"/>
        <w:rPr>
          <w:rFonts w:ascii="仿宋_GB2312" w:hAnsi="宋体" w:eastAsia="仿宋_GB2312"/>
          <w:sz w:val="32"/>
          <w:szCs w:val="32"/>
          <w:highlight w:val="none"/>
        </w:rPr>
      </w:pPr>
      <w:r>
        <w:rPr>
          <w:rFonts w:hint="eastAsia" w:ascii="仿宋_GB2312" w:hAnsi="宋体" w:eastAsia="仿宋_GB2312"/>
          <w:sz w:val="32"/>
          <w:szCs w:val="32"/>
          <w:highlight w:val="none"/>
          <w:lang w:val="en-US" w:eastAsia="zh-CN"/>
        </w:rPr>
        <w:t>4</w:t>
      </w:r>
      <w:r>
        <w:rPr>
          <w:rFonts w:hint="eastAsia" w:ascii="仿宋_GB2312" w:hAnsi="宋体" w:eastAsia="仿宋_GB2312"/>
          <w:sz w:val="32"/>
          <w:szCs w:val="32"/>
          <w:highlight w:val="none"/>
        </w:rPr>
        <w:t>.我县乡镇实行“统收统支”政策，</w:t>
      </w:r>
      <w:r>
        <w:rPr>
          <w:rFonts w:hint="eastAsia" w:ascii="仿宋_GB2312" w:hAnsi="宋体" w:eastAsia="仿宋_GB2312"/>
          <w:sz w:val="32"/>
          <w:szCs w:val="32"/>
          <w:highlight w:val="none"/>
          <w:lang w:eastAsia="zh-CN"/>
        </w:rPr>
        <w:t>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w:t>
      </w:r>
      <w:r>
        <w:rPr>
          <w:rFonts w:hint="eastAsia" w:ascii="仿宋_GB2312" w:hAnsi="宋体" w:eastAsia="仿宋_GB2312"/>
          <w:sz w:val="32"/>
          <w:szCs w:val="32"/>
          <w:highlight w:val="none"/>
        </w:rPr>
        <w:t>预算没有安排对下转移支付支出。</w:t>
      </w:r>
    </w:p>
    <w:p>
      <w:pPr>
        <w:ind w:firstLine="645"/>
        <w:rPr>
          <w:rFonts w:ascii="黑体" w:hAnsi="宋体" w:eastAsia="黑体"/>
          <w:b/>
          <w:sz w:val="32"/>
          <w:szCs w:val="32"/>
          <w:highlight w:val="none"/>
        </w:rPr>
      </w:pPr>
      <w:r>
        <w:rPr>
          <w:rFonts w:hint="eastAsia" w:ascii="黑体" w:hAnsi="宋体" w:eastAsia="黑体"/>
          <w:sz w:val="32"/>
          <w:szCs w:val="32"/>
          <w:highlight w:val="none"/>
        </w:rPr>
        <w:t>三、</w:t>
      </w:r>
      <w:r>
        <w:rPr>
          <w:rFonts w:hint="eastAsia" w:ascii="黑体" w:hAnsi="宋体" w:eastAsia="黑体"/>
          <w:b/>
          <w:sz w:val="32"/>
          <w:szCs w:val="32"/>
          <w:highlight w:val="none"/>
          <w:lang w:eastAsia="zh-CN"/>
        </w:rPr>
        <w:t>202</w:t>
      </w:r>
      <w:r>
        <w:rPr>
          <w:rFonts w:hint="eastAsia" w:ascii="黑体" w:hAnsi="宋体" w:eastAsia="黑体"/>
          <w:b/>
          <w:sz w:val="32"/>
          <w:szCs w:val="32"/>
          <w:highlight w:val="none"/>
          <w:lang w:val="en-US" w:eastAsia="zh-CN"/>
        </w:rPr>
        <w:t>6</w:t>
      </w:r>
      <w:r>
        <w:rPr>
          <w:rFonts w:hint="eastAsia" w:ascii="黑体" w:hAnsi="宋体" w:eastAsia="黑体"/>
          <w:b/>
          <w:sz w:val="32"/>
          <w:szCs w:val="32"/>
          <w:highlight w:val="none"/>
          <w:lang w:eastAsia="zh-CN"/>
        </w:rPr>
        <w:t>年</w:t>
      </w:r>
      <w:r>
        <w:rPr>
          <w:rFonts w:hint="eastAsia" w:ascii="黑体" w:hAnsi="宋体" w:eastAsia="黑体"/>
          <w:b/>
          <w:sz w:val="32"/>
          <w:szCs w:val="32"/>
          <w:highlight w:val="none"/>
        </w:rPr>
        <w:t>一般公共预算安排“三公”经费预算情况</w:t>
      </w:r>
    </w:p>
    <w:p>
      <w:pPr>
        <w:ind w:firstLine="627" w:firstLineChars="196"/>
        <w:rPr>
          <w:rFonts w:hint="eastAsia" w:ascii="仿宋_GB2312" w:hAnsi="宋体" w:eastAsia="仿宋_GB2312"/>
          <w:sz w:val="32"/>
          <w:szCs w:val="32"/>
          <w:highlight w:val="none"/>
          <w:lang w:eastAsia="zh-CN"/>
        </w:rPr>
      </w:pPr>
      <w:r>
        <w:rPr>
          <w:rFonts w:hint="eastAsia" w:ascii="仿宋_GB2312" w:hAnsi="宋体" w:eastAsia="仿宋_GB2312"/>
          <w:sz w:val="32"/>
          <w:szCs w:val="32"/>
          <w:highlight w:val="none"/>
          <w:lang w:eastAsia="zh-CN"/>
        </w:rPr>
        <w:t>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年一般公共预算安排“三公”经费支出1</w:t>
      </w:r>
      <w:r>
        <w:rPr>
          <w:rFonts w:hint="eastAsia" w:ascii="仿宋_GB2312" w:hAnsi="宋体" w:eastAsia="仿宋_GB2312"/>
          <w:sz w:val="32"/>
          <w:szCs w:val="32"/>
          <w:highlight w:val="none"/>
          <w:lang w:val="en-US" w:eastAsia="zh-CN"/>
        </w:rPr>
        <w:t>171.91</w:t>
      </w:r>
      <w:r>
        <w:rPr>
          <w:rFonts w:hint="eastAsia" w:ascii="仿宋_GB2312" w:hAnsi="宋体" w:eastAsia="仿宋_GB2312"/>
          <w:sz w:val="32"/>
          <w:szCs w:val="32"/>
          <w:highlight w:val="none"/>
          <w:lang w:eastAsia="zh-CN"/>
        </w:rPr>
        <w:t>万元，比上年预算减少</w:t>
      </w:r>
      <w:r>
        <w:rPr>
          <w:rFonts w:hint="eastAsia" w:ascii="仿宋_GB2312" w:hAnsi="宋体" w:eastAsia="仿宋_GB2312"/>
          <w:sz w:val="32"/>
          <w:szCs w:val="32"/>
          <w:highlight w:val="none"/>
          <w:lang w:val="en-US" w:eastAsia="zh-CN"/>
        </w:rPr>
        <w:t>36.25</w:t>
      </w:r>
      <w:r>
        <w:rPr>
          <w:rFonts w:hint="eastAsia" w:ascii="仿宋_GB2312" w:hAnsi="宋体" w:eastAsia="仿宋_GB2312"/>
          <w:sz w:val="32"/>
          <w:szCs w:val="32"/>
          <w:highlight w:val="none"/>
          <w:lang w:eastAsia="zh-CN"/>
        </w:rPr>
        <w:t>万元，降低</w:t>
      </w:r>
      <w:r>
        <w:rPr>
          <w:rFonts w:hint="eastAsia" w:ascii="仿宋_GB2312" w:hAnsi="宋体" w:eastAsia="仿宋_GB2312"/>
          <w:sz w:val="32"/>
          <w:szCs w:val="32"/>
          <w:highlight w:val="none"/>
          <w:lang w:val="en-US" w:eastAsia="zh-CN"/>
        </w:rPr>
        <w:t>3</w:t>
      </w:r>
      <w:r>
        <w:rPr>
          <w:rFonts w:hint="eastAsia" w:ascii="仿宋_GB2312" w:hAnsi="宋体" w:eastAsia="仿宋_GB2312"/>
          <w:sz w:val="32"/>
          <w:szCs w:val="32"/>
          <w:highlight w:val="none"/>
          <w:lang w:eastAsia="zh-CN"/>
        </w:rPr>
        <w:t>%。</w:t>
      </w:r>
    </w:p>
    <w:p>
      <w:pPr>
        <w:ind w:firstLine="627" w:firstLineChars="196"/>
        <w:rPr>
          <w:rFonts w:hint="eastAsia" w:ascii="仿宋_GB2312" w:hAnsi="宋体" w:eastAsia="仿宋_GB2312"/>
          <w:sz w:val="32"/>
          <w:szCs w:val="32"/>
          <w:highlight w:val="none"/>
          <w:lang w:eastAsia="zh-CN"/>
        </w:rPr>
      </w:pPr>
      <w:r>
        <w:rPr>
          <w:rFonts w:hint="eastAsia" w:ascii="仿宋_GB2312" w:hAnsi="宋体" w:eastAsia="仿宋_GB2312"/>
          <w:sz w:val="32"/>
          <w:szCs w:val="32"/>
          <w:highlight w:val="none"/>
          <w:lang w:eastAsia="zh-CN"/>
        </w:rPr>
        <w:t>具体安排情况：</w:t>
      </w:r>
    </w:p>
    <w:p>
      <w:pPr>
        <w:ind w:firstLine="627" w:firstLineChars="196"/>
        <w:rPr>
          <w:rFonts w:hint="eastAsia" w:ascii="仿宋_GB2312" w:hAnsi="宋体" w:eastAsia="仿宋_GB2312"/>
          <w:sz w:val="32"/>
          <w:szCs w:val="32"/>
          <w:highlight w:val="none"/>
          <w:lang w:eastAsia="zh-CN"/>
        </w:rPr>
      </w:pPr>
      <w:r>
        <w:rPr>
          <w:rFonts w:hint="eastAsia" w:ascii="仿宋_GB2312" w:hAnsi="宋体" w:eastAsia="仿宋_GB2312"/>
          <w:sz w:val="32"/>
          <w:szCs w:val="32"/>
          <w:highlight w:val="none"/>
          <w:lang w:eastAsia="zh-CN"/>
        </w:rPr>
        <w:t>1.公车运行维护经费。202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年安排7</w:t>
      </w:r>
      <w:r>
        <w:rPr>
          <w:rFonts w:hint="eastAsia" w:ascii="仿宋_GB2312" w:hAnsi="宋体" w:eastAsia="仿宋_GB2312"/>
          <w:sz w:val="32"/>
          <w:szCs w:val="32"/>
          <w:highlight w:val="none"/>
          <w:lang w:val="en-US" w:eastAsia="zh-CN"/>
        </w:rPr>
        <w:t>42.63</w:t>
      </w:r>
      <w:r>
        <w:rPr>
          <w:rFonts w:hint="eastAsia" w:ascii="仿宋_GB2312" w:hAnsi="宋体" w:eastAsia="仿宋_GB2312"/>
          <w:sz w:val="32"/>
          <w:szCs w:val="32"/>
          <w:highlight w:val="none"/>
          <w:lang w:eastAsia="zh-CN"/>
        </w:rPr>
        <w:t>万元，比上年预算减少</w:t>
      </w:r>
      <w:r>
        <w:rPr>
          <w:rFonts w:hint="eastAsia" w:ascii="仿宋_GB2312" w:hAnsi="宋体" w:eastAsia="仿宋_GB2312"/>
          <w:sz w:val="32"/>
          <w:szCs w:val="32"/>
          <w:highlight w:val="none"/>
          <w:lang w:val="en-US" w:eastAsia="zh-CN"/>
        </w:rPr>
        <w:t>22.97</w:t>
      </w:r>
      <w:r>
        <w:rPr>
          <w:rFonts w:hint="eastAsia" w:ascii="仿宋_GB2312" w:hAnsi="宋体" w:eastAsia="仿宋_GB2312"/>
          <w:sz w:val="32"/>
          <w:szCs w:val="32"/>
          <w:highlight w:val="none"/>
          <w:lang w:eastAsia="zh-CN"/>
        </w:rPr>
        <w:t>万元，降低</w:t>
      </w:r>
      <w:r>
        <w:rPr>
          <w:rFonts w:hint="eastAsia" w:ascii="仿宋_GB2312" w:hAnsi="宋体" w:eastAsia="仿宋_GB2312"/>
          <w:sz w:val="32"/>
          <w:szCs w:val="32"/>
          <w:highlight w:val="none"/>
          <w:lang w:val="en-US" w:eastAsia="zh-CN"/>
        </w:rPr>
        <w:t>3</w:t>
      </w:r>
      <w:r>
        <w:rPr>
          <w:rFonts w:hint="eastAsia" w:ascii="仿宋_GB2312" w:hAnsi="宋体" w:eastAsia="仿宋_GB2312"/>
          <w:sz w:val="32"/>
          <w:szCs w:val="32"/>
          <w:highlight w:val="none"/>
          <w:lang w:eastAsia="zh-CN"/>
        </w:rPr>
        <w:t>%。</w:t>
      </w:r>
    </w:p>
    <w:p>
      <w:pPr>
        <w:ind w:firstLine="627" w:firstLineChars="196"/>
        <w:rPr>
          <w:rFonts w:hint="eastAsia" w:ascii="仿宋_GB2312" w:hAnsi="宋体" w:eastAsia="仿宋_GB2312"/>
          <w:sz w:val="32"/>
          <w:szCs w:val="32"/>
          <w:highlight w:val="none"/>
          <w:lang w:eastAsia="zh-CN"/>
        </w:rPr>
      </w:pPr>
      <w:r>
        <w:rPr>
          <w:rFonts w:hint="eastAsia" w:ascii="仿宋_GB2312" w:hAnsi="宋体" w:eastAsia="仿宋_GB2312"/>
          <w:sz w:val="32"/>
          <w:szCs w:val="32"/>
          <w:highlight w:val="none"/>
          <w:lang w:eastAsia="zh-CN"/>
        </w:rPr>
        <w:t>2.公务用车购置费。202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年安排</w:t>
      </w:r>
      <w:r>
        <w:rPr>
          <w:rFonts w:hint="eastAsia" w:ascii="仿宋_GB2312" w:hAnsi="宋体" w:eastAsia="仿宋_GB2312"/>
          <w:sz w:val="32"/>
          <w:szCs w:val="32"/>
          <w:highlight w:val="none"/>
          <w:lang w:val="en-US" w:eastAsia="zh-CN"/>
        </w:rPr>
        <w:t>389.94</w:t>
      </w:r>
      <w:r>
        <w:rPr>
          <w:rFonts w:hint="eastAsia" w:ascii="仿宋_GB2312" w:hAnsi="宋体" w:eastAsia="仿宋_GB2312"/>
          <w:sz w:val="32"/>
          <w:szCs w:val="32"/>
          <w:highlight w:val="none"/>
          <w:lang w:eastAsia="zh-CN"/>
        </w:rPr>
        <w:t>万元，与上年减少</w:t>
      </w:r>
      <w:r>
        <w:rPr>
          <w:rFonts w:hint="eastAsia" w:ascii="仿宋_GB2312" w:hAnsi="宋体" w:eastAsia="仿宋_GB2312"/>
          <w:sz w:val="32"/>
          <w:szCs w:val="32"/>
          <w:highlight w:val="none"/>
          <w:lang w:val="en-US" w:eastAsia="zh-CN"/>
        </w:rPr>
        <w:t>12.06</w:t>
      </w:r>
      <w:r>
        <w:rPr>
          <w:rFonts w:hint="eastAsia" w:ascii="仿宋_GB2312" w:hAnsi="宋体" w:eastAsia="仿宋_GB2312"/>
          <w:sz w:val="32"/>
          <w:szCs w:val="32"/>
          <w:highlight w:val="none"/>
          <w:lang w:eastAsia="zh-CN"/>
        </w:rPr>
        <w:t>万元，降低</w:t>
      </w:r>
      <w:r>
        <w:rPr>
          <w:rFonts w:hint="eastAsia" w:ascii="仿宋_GB2312" w:hAnsi="宋体" w:eastAsia="仿宋_GB2312"/>
          <w:sz w:val="32"/>
          <w:szCs w:val="32"/>
          <w:highlight w:val="none"/>
          <w:lang w:val="en-US" w:eastAsia="zh-CN"/>
        </w:rPr>
        <w:t>3</w:t>
      </w:r>
      <w:r>
        <w:rPr>
          <w:rFonts w:hint="eastAsia" w:ascii="仿宋_GB2312" w:hAnsi="宋体" w:eastAsia="仿宋_GB2312"/>
          <w:sz w:val="32"/>
          <w:szCs w:val="32"/>
          <w:highlight w:val="none"/>
          <w:lang w:eastAsia="zh-CN"/>
        </w:rPr>
        <w:t>%。</w:t>
      </w:r>
    </w:p>
    <w:p>
      <w:pPr>
        <w:ind w:firstLine="627" w:firstLineChars="196"/>
        <w:rPr>
          <w:rFonts w:hint="eastAsia" w:ascii="仿宋_GB2312" w:hAnsi="宋体" w:eastAsia="仿宋_GB2312"/>
          <w:sz w:val="32"/>
          <w:szCs w:val="32"/>
          <w:highlight w:val="none"/>
          <w:lang w:eastAsia="zh-CN"/>
        </w:rPr>
      </w:pPr>
      <w:r>
        <w:rPr>
          <w:rFonts w:hint="eastAsia" w:ascii="仿宋_GB2312" w:hAnsi="宋体" w:eastAsia="仿宋_GB2312"/>
          <w:sz w:val="32"/>
          <w:szCs w:val="32"/>
          <w:highlight w:val="none"/>
          <w:lang w:eastAsia="zh-CN"/>
        </w:rPr>
        <w:t>3.公务接待费。202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年安排</w:t>
      </w:r>
      <w:r>
        <w:rPr>
          <w:rFonts w:hint="eastAsia" w:ascii="仿宋_GB2312" w:hAnsi="宋体" w:eastAsia="仿宋_GB2312"/>
          <w:sz w:val="32"/>
          <w:szCs w:val="32"/>
          <w:highlight w:val="none"/>
          <w:lang w:val="en-US" w:eastAsia="zh-CN"/>
        </w:rPr>
        <w:t>19.94</w:t>
      </w:r>
      <w:r>
        <w:rPr>
          <w:rFonts w:hint="eastAsia" w:ascii="仿宋_GB2312" w:hAnsi="宋体" w:eastAsia="仿宋_GB2312"/>
          <w:sz w:val="32"/>
          <w:szCs w:val="32"/>
          <w:highlight w:val="none"/>
          <w:lang w:eastAsia="zh-CN"/>
        </w:rPr>
        <w:t>万元，比上年预算减少</w:t>
      </w:r>
      <w:r>
        <w:rPr>
          <w:rFonts w:hint="eastAsia" w:ascii="仿宋_GB2312" w:hAnsi="宋体" w:eastAsia="仿宋_GB2312"/>
          <w:sz w:val="32"/>
          <w:szCs w:val="32"/>
          <w:highlight w:val="none"/>
          <w:lang w:val="en-US" w:eastAsia="zh-CN"/>
        </w:rPr>
        <w:t>0.62</w:t>
      </w:r>
      <w:r>
        <w:rPr>
          <w:rFonts w:hint="eastAsia" w:ascii="仿宋_GB2312" w:hAnsi="宋体" w:eastAsia="仿宋_GB2312"/>
          <w:sz w:val="32"/>
          <w:szCs w:val="32"/>
          <w:highlight w:val="none"/>
          <w:lang w:eastAsia="zh-CN"/>
        </w:rPr>
        <w:t>万元，下降</w:t>
      </w:r>
      <w:r>
        <w:rPr>
          <w:rFonts w:hint="eastAsia" w:ascii="仿宋_GB2312" w:hAnsi="宋体" w:eastAsia="仿宋_GB2312"/>
          <w:sz w:val="32"/>
          <w:szCs w:val="32"/>
          <w:highlight w:val="none"/>
          <w:lang w:val="en-US" w:eastAsia="zh-CN"/>
        </w:rPr>
        <w:t>3.01</w:t>
      </w:r>
      <w:r>
        <w:rPr>
          <w:rFonts w:hint="eastAsia" w:ascii="仿宋_GB2312" w:hAnsi="宋体" w:eastAsia="仿宋_GB2312"/>
          <w:sz w:val="32"/>
          <w:szCs w:val="32"/>
          <w:highlight w:val="none"/>
          <w:lang w:eastAsia="zh-CN"/>
        </w:rPr>
        <w:t>%，主要原因是各预算单位厉行节约，相应压缩接待费用预算。</w:t>
      </w:r>
    </w:p>
    <w:p>
      <w:pPr>
        <w:ind w:firstLine="627" w:firstLineChars="196"/>
        <w:rPr>
          <w:rFonts w:ascii="仿宋_GB2312" w:hAnsi="宋体" w:eastAsia="仿宋_GB2312"/>
          <w:sz w:val="32"/>
          <w:szCs w:val="32"/>
          <w:highlight w:val="yellow"/>
        </w:rPr>
      </w:pPr>
      <w:r>
        <w:rPr>
          <w:rFonts w:hint="eastAsia" w:ascii="仿宋_GB2312" w:hAnsi="宋体" w:eastAsia="仿宋_GB2312"/>
          <w:sz w:val="32"/>
          <w:szCs w:val="32"/>
          <w:highlight w:val="none"/>
          <w:lang w:eastAsia="zh-CN"/>
        </w:rPr>
        <w:t>4.因公出国（境）费。202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lang w:eastAsia="zh-CN"/>
        </w:rPr>
        <w:t>年安排</w:t>
      </w:r>
      <w:r>
        <w:rPr>
          <w:rFonts w:hint="eastAsia" w:ascii="仿宋_GB2312" w:hAnsi="宋体" w:eastAsia="仿宋_GB2312"/>
          <w:sz w:val="32"/>
          <w:szCs w:val="32"/>
          <w:highlight w:val="none"/>
          <w:lang w:val="en-US" w:eastAsia="zh-CN"/>
        </w:rPr>
        <w:t>19.4</w:t>
      </w:r>
      <w:r>
        <w:rPr>
          <w:rFonts w:hint="eastAsia" w:ascii="仿宋_GB2312" w:hAnsi="宋体" w:eastAsia="仿宋_GB2312"/>
          <w:sz w:val="32"/>
          <w:szCs w:val="32"/>
          <w:highlight w:val="none"/>
          <w:lang w:eastAsia="zh-CN"/>
        </w:rPr>
        <w:t>万元，与上年减少</w:t>
      </w:r>
      <w:r>
        <w:rPr>
          <w:rFonts w:hint="eastAsia" w:ascii="仿宋_GB2312" w:hAnsi="宋体" w:eastAsia="仿宋_GB2312"/>
          <w:sz w:val="32"/>
          <w:szCs w:val="32"/>
          <w:highlight w:val="none"/>
          <w:lang w:val="en-US" w:eastAsia="zh-CN"/>
        </w:rPr>
        <w:t>0.6</w:t>
      </w:r>
      <w:r>
        <w:rPr>
          <w:rFonts w:hint="eastAsia" w:ascii="仿宋_GB2312" w:hAnsi="宋体" w:eastAsia="仿宋_GB2312"/>
          <w:sz w:val="32"/>
          <w:szCs w:val="32"/>
          <w:highlight w:val="none"/>
          <w:lang w:eastAsia="zh-CN"/>
        </w:rPr>
        <w:t>万元，降低</w:t>
      </w:r>
      <w:r>
        <w:rPr>
          <w:rFonts w:hint="eastAsia" w:ascii="仿宋_GB2312" w:hAnsi="宋体" w:eastAsia="仿宋_GB2312"/>
          <w:sz w:val="32"/>
          <w:szCs w:val="32"/>
          <w:highlight w:val="none"/>
          <w:lang w:val="en-US" w:eastAsia="zh-CN"/>
        </w:rPr>
        <w:t>3</w:t>
      </w:r>
      <w:r>
        <w:rPr>
          <w:rFonts w:hint="eastAsia" w:ascii="仿宋_GB2312" w:hAnsi="宋体" w:eastAsia="仿宋_GB2312"/>
          <w:sz w:val="32"/>
          <w:szCs w:val="32"/>
          <w:highlight w:val="none"/>
          <w:lang w:eastAsia="zh-CN"/>
        </w:rPr>
        <w:t>%。</w:t>
      </w:r>
    </w:p>
    <w:p>
      <w:pPr>
        <w:ind w:firstLine="640" w:firstLineChars="200"/>
        <w:rPr>
          <w:rFonts w:ascii="黑体" w:hAnsi="宋体" w:eastAsia="黑体" w:cs="宋体"/>
          <w:sz w:val="32"/>
          <w:szCs w:val="32"/>
          <w:highlight w:val="none"/>
        </w:rPr>
      </w:pPr>
      <w:r>
        <w:rPr>
          <w:rFonts w:hint="eastAsia" w:ascii="黑体" w:hAnsi="宋体" w:eastAsia="黑体"/>
          <w:sz w:val="32"/>
          <w:szCs w:val="32"/>
          <w:highlight w:val="none"/>
        </w:rPr>
        <w:t>四、</w:t>
      </w:r>
      <w:r>
        <w:rPr>
          <w:rFonts w:hint="eastAsia" w:ascii="黑体" w:hAnsi="宋体" w:eastAsia="黑体" w:cs="宋体"/>
          <w:sz w:val="32"/>
          <w:szCs w:val="32"/>
          <w:highlight w:val="none"/>
        </w:rPr>
        <w:t>政府采购情况说明</w:t>
      </w:r>
    </w:p>
    <w:p>
      <w:pPr>
        <w:numPr>
          <w:ilvl w:val="0"/>
          <w:numId w:val="0"/>
        </w:numPr>
        <w:ind w:firstLine="640" w:firstLineChars="200"/>
        <w:rPr>
          <w:rFonts w:hint="eastAsia" w:ascii="仿宋_GB2312" w:hAnsi="宋体" w:eastAsia="仿宋_GB2312"/>
          <w:sz w:val="32"/>
          <w:szCs w:val="32"/>
          <w:highlight w:val="none"/>
        </w:rPr>
      </w:pPr>
      <w:r>
        <w:rPr>
          <w:rFonts w:hint="eastAsia" w:ascii="仿宋_GB2312" w:hAnsi="宋体" w:eastAsia="仿宋_GB2312"/>
          <w:sz w:val="32"/>
          <w:szCs w:val="32"/>
          <w:highlight w:val="none"/>
        </w:rPr>
        <w:t>202</w:t>
      </w:r>
      <w:r>
        <w:rPr>
          <w:rFonts w:hint="eastAsia" w:ascii="仿宋_GB2312" w:hAnsi="宋体" w:eastAsia="仿宋_GB2312"/>
          <w:sz w:val="32"/>
          <w:szCs w:val="32"/>
          <w:highlight w:val="none"/>
          <w:lang w:val="en-US" w:eastAsia="zh-CN"/>
        </w:rPr>
        <w:t>6</w:t>
      </w:r>
      <w:r>
        <w:rPr>
          <w:rFonts w:hint="eastAsia" w:ascii="仿宋_GB2312" w:hAnsi="宋体" w:eastAsia="仿宋_GB2312"/>
          <w:sz w:val="32"/>
          <w:szCs w:val="32"/>
          <w:highlight w:val="none"/>
        </w:rPr>
        <w:t>年预算安排政府采购资金安排10.53亿元。按采购类别分：货物类0.28亿元、工程类9.93亿元、服务类0.31亿元；按资金来源性质分：预算拨款安</w:t>
      </w:r>
      <w:bookmarkStart w:id="0" w:name="_GoBack"/>
      <w:bookmarkEnd w:id="0"/>
      <w:r>
        <w:rPr>
          <w:rFonts w:hint="eastAsia" w:ascii="仿宋_GB2312" w:hAnsi="宋体" w:eastAsia="仿宋_GB2312"/>
          <w:sz w:val="32"/>
          <w:szCs w:val="32"/>
          <w:highlight w:val="none"/>
        </w:rPr>
        <w:t>排2.87亿元、预计结转资金7.66亿元。2026年县级政府采购预算编制要求为：根据《中华人民共和国政府采购法》要求，政府采购应当严格按照批准的预算执行。凡符合《河北省政府集中采购目录及标准（2024年版）》（冀财采[2024]17号）的，全面编列部门政府采购预算，政府采购目录外且单项或批量达到采购限额标准的，按照《中华人民共和国政府采购法》规定纳入政府采购监管范围, 全面编列部门政府采购预算。《河北省政府集中采购目录及标准（2024年版）》文件规定2026年县级政府采购限额标准为：政府采购货物、服务单项或批量采购预算金额达到30万元（含）以上的、政府采购工程项目60万元（含）以上的，办理政府采购手续。货物类和服务类公开招标限额标准为200 万元（含）以上，政府采购工程以及与工程建设有关的货物、服务的公开招标数额标准按照《必须招标的工程项目规定》（国家发展和改革委员会令第16号）规定执行。</w:t>
      </w:r>
    </w:p>
    <w:p>
      <w:pPr>
        <w:numPr>
          <w:ilvl w:val="0"/>
          <w:numId w:val="0"/>
        </w:numPr>
        <w:ind w:firstLine="643" w:firstLineChars="200"/>
        <w:rPr>
          <w:rFonts w:hint="eastAsia" w:ascii="黑体" w:hAnsi="宋体" w:eastAsia="黑体" w:cs="宋体"/>
          <w:b/>
          <w:sz w:val="32"/>
          <w:szCs w:val="32"/>
        </w:rPr>
      </w:pPr>
      <w:r>
        <w:rPr>
          <w:rFonts w:hint="eastAsia" w:ascii="黑体" w:hAnsi="宋体" w:eastAsia="黑体" w:cs="宋体"/>
          <w:b/>
          <w:sz w:val="32"/>
          <w:szCs w:val="32"/>
          <w:lang w:val="en-US" w:eastAsia="zh-CN"/>
        </w:rPr>
        <w:t>五、</w:t>
      </w:r>
      <w:r>
        <w:rPr>
          <w:rFonts w:hint="eastAsia" w:ascii="黑体" w:hAnsi="宋体" w:eastAsia="黑体" w:cs="宋体"/>
          <w:b/>
          <w:sz w:val="32"/>
          <w:szCs w:val="32"/>
        </w:rPr>
        <w:t>绩效预算工作开展情况</w:t>
      </w:r>
    </w:p>
    <w:p>
      <w:pPr>
        <w:numPr>
          <w:ilvl w:val="0"/>
          <w:numId w:val="0"/>
        </w:numPr>
        <w:ind w:firstLine="640" w:firstLineChars="200"/>
        <w:rPr>
          <w:rFonts w:ascii="仿宋_GB2312" w:hAnsi="宋体" w:eastAsia="仿宋_GB2312" w:cs="宋体"/>
          <w:sz w:val="32"/>
          <w:szCs w:val="32"/>
        </w:rPr>
      </w:pPr>
      <w:r>
        <w:rPr>
          <w:rFonts w:hint="eastAsia" w:ascii="仿宋_GB2312" w:hAnsi="宋体" w:eastAsia="仿宋_GB2312" w:cs="宋体"/>
          <w:sz w:val="32"/>
          <w:szCs w:val="32"/>
        </w:rPr>
        <w:t>认真贯彻落</w:t>
      </w:r>
      <w:r>
        <w:rPr>
          <w:rFonts w:hint="eastAsia" w:ascii="仿宋_GB2312" w:hAnsi="宋体" w:eastAsia="仿宋_GB2312" w:cs="宋体"/>
          <w:color w:val="auto"/>
          <w:sz w:val="32"/>
          <w:szCs w:val="32"/>
        </w:rPr>
        <w:t>实</w:t>
      </w:r>
      <w:r>
        <w:rPr>
          <w:rFonts w:hint="eastAsia" w:ascii="仿宋_GB2312" w:hAnsi="宋体" w:eastAsia="仿宋_GB2312" w:cs="宋体"/>
          <w:color w:val="auto"/>
          <w:sz w:val="32"/>
          <w:szCs w:val="32"/>
          <w:highlight w:val="none"/>
          <w:lang w:val="en-US" w:eastAsia="zh-CN"/>
        </w:rPr>
        <w:t>二十</w:t>
      </w:r>
      <w:r>
        <w:rPr>
          <w:rFonts w:hint="eastAsia" w:ascii="仿宋_GB2312" w:hAnsi="宋体" w:eastAsia="仿宋_GB2312" w:cs="宋体"/>
          <w:sz w:val="32"/>
          <w:szCs w:val="32"/>
        </w:rPr>
        <w:t>大“建立全面规范透明、标准科学、约束有力的预算制度，全面实施绩效管理”的改革部署，按照中共中央、国务院、省市《关于全面实施预算绩效管理的意见》，提高预算管理水平和政策实施效果，在努力构建“预算编制有目标、预算执行有监控、预算完成有评价、评价结果有应用、绩效缺失有问责”的全过程绩效管理新机制基础上，多方面持续用力，进一步推进全县绩效预算管理科学化、规范化、系统化。</w:t>
      </w:r>
    </w:p>
    <w:p>
      <w:pPr>
        <w:widowControl/>
        <w:spacing w:line="580" w:lineRule="exact"/>
        <w:ind w:firstLine="645"/>
        <w:rPr>
          <w:rFonts w:ascii="仿宋_GB2312" w:hAnsi="宋体" w:eastAsia="仿宋_GB2312" w:cs="宋体"/>
          <w:sz w:val="32"/>
          <w:szCs w:val="32"/>
        </w:rPr>
      </w:pPr>
      <w:r>
        <w:rPr>
          <w:rFonts w:hint="eastAsia" w:ascii="仿宋_GB2312" w:hAnsi="宋体" w:eastAsia="仿宋_GB2312" w:cs="宋体"/>
          <w:sz w:val="32"/>
          <w:szCs w:val="32"/>
        </w:rPr>
        <w:t>部门总体绩效目标、分项绩效目标及确保完成绩效目标的工作保障措施全部编入部门预算绩效文本，列入部门预算的专项项目必须编制绩效目标和指标。预算项目绩效指标设置为三级指标，其中一级指标包括产出指标、效果指标和满意度指标；二级指标中，产出指标包括数量指标、质量指标、时效指标、成本指标等，效果指标包括经济效益指标、社会效益指标、生态效益指标、可持续影响指标等，满意度指标包括服务对象满意度等；三级指标根据具体项目的情况，在二级指标基础上进行细化。</w:t>
      </w:r>
    </w:p>
    <w:p>
      <w:pPr>
        <w:widowControl/>
        <w:spacing w:line="580" w:lineRule="exact"/>
        <w:ind w:firstLine="645"/>
        <w:rPr>
          <w:rFonts w:ascii="仿宋_GB2312" w:hAnsi="宋体" w:eastAsia="仿宋_GB2312" w:cs="宋体"/>
          <w:sz w:val="32"/>
          <w:szCs w:val="32"/>
        </w:rPr>
      </w:pPr>
      <w:r>
        <w:rPr>
          <w:rFonts w:hint="eastAsia" w:ascii="仿宋_GB2312" w:hAnsi="宋体" w:eastAsia="仿宋_GB2312" w:cs="宋体"/>
          <w:sz w:val="32"/>
          <w:szCs w:val="32"/>
        </w:rPr>
        <w:t xml:space="preserve">按照绩效预算管理改革要求，绩效目标编制与预算编制要做到“三个同步”。一是同步申报绩效目标。部署下一年度预算编制工作时，要求部门在预算申报中同步申报项目支出绩效目标。二是同步审核绩效目标。财政局在审核预算时，首先对部门申报的绩效目标进行审核，对没有绩效目标或绩效目标不完整的，由部门补充、完善。对低绩效、无绩效项目，不予安排预算。 三是同步批复绩效目标。单独编制 </w:t>
      </w:r>
      <w:r>
        <w:rPr>
          <w:rFonts w:hint="eastAsia" w:ascii="仿宋_GB2312" w:hAnsi="宋体" w:eastAsia="仿宋_GB2312" w:cs="宋体"/>
          <w:sz w:val="32"/>
          <w:szCs w:val="32"/>
          <w:lang w:eastAsia="zh-CN"/>
        </w:rPr>
        <w:t>202</w:t>
      </w:r>
      <w:r>
        <w:rPr>
          <w:rFonts w:hint="eastAsia" w:ascii="仿宋_GB2312" w:hAnsi="宋体" w:eastAsia="仿宋_GB2312" w:cs="宋体"/>
          <w:sz w:val="32"/>
          <w:szCs w:val="32"/>
          <w:lang w:val="en-US" w:eastAsia="zh-CN"/>
        </w:rPr>
        <w:t>6</w:t>
      </w:r>
      <w:r>
        <w:rPr>
          <w:rFonts w:hint="eastAsia" w:ascii="仿宋_GB2312" w:hAnsi="宋体" w:eastAsia="仿宋_GB2312" w:cs="宋体"/>
          <w:sz w:val="32"/>
          <w:szCs w:val="32"/>
        </w:rPr>
        <w:t>年度部门预算绩效文本，形成预算、绩效“1+1”双文本，经人代会审查批准后，将绩效目标随部门预算一同批复。</w:t>
      </w:r>
      <w:r>
        <w:rPr>
          <w:rFonts w:hint="eastAsia" w:ascii="仿宋_GB2312" w:hAnsi="宋体" w:eastAsia="仿宋_GB2312" w:cs="宋体"/>
          <w:sz w:val="32"/>
          <w:szCs w:val="32"/>
          <w:lang w:val="en-US" w:eastAsia="zh-CN"/>
        </w:rPr>
        <w:t>69</w:t>
      </w:r>
      <w:r>
        <w:rPr>
          <w:rFonts w:hint="eastAsia" w:ascii="仿宋_GB2312" w:hAnsi="宋体" w:eastAsia="仿宋_GB2312" w:cs="宋体"/>
          <w:sz w:val="32"/>
          <w:szCs w:val="32"/>
        </w:rPr>
        <w:t>个预算部门全部编制</w:t>
      </w:r>
      <w:r>
        <w:rPr>
          <w:rFonts w:hint="eastAsia" w:ascii="仿宋_GB2312" w:hAnsi="宋体" w:eastAsia="仿宋_GB2312" w:cs="宋体"/>
          <w:sz w:val="32"/>
          <w:szCs w:val="32"/>
          <w:lang w:eastAsia="zh-CN"/>
        </w:rPr>
        <w:t>202</w:t>
      </w:r>
      <w:r>
        <w:rPr>
          <w:rFonts w:hint="eastAsia" w:ascii="仿宋_GB2312" w:hAnsi="宋体" w:eastAsia="仿宋_GB2312" w:cs="宋体"/>
          <w:sz w:val="32"/>
          <w:szCs w:val="32"/>
          <w:lang w:val="en-US" w:eastAsia="zh-CN"/>
        </w:rPr>
        <w:t>6</w:t>
      </w:r>
      <w:r>
        <w:rPr>
          <w:rFonts w:hint="eastAsia" w:ascii="仿宋_GB2312" w:hAnsi="宋体" w:eastAsia="仿宋_GB2312" w:cs="宋体"/>
          <w:sz w:val="32"/>
          <w:szCs w:val="32"/>
          <w:lang w:eastAsia="zh-CN"/>
        </w:rPr>
        <w:t>年</w:t>
      </w:r>
      <w:r>
        <w:rPr>
          <w:rFonts w:hint="eastAsia" w:ascii="仿宋_GB2312" w:hAnsi="宋体" w:eastAsia="仿宋_GB2312" w:cs="宋体"/>
          <w:sz w:val="32"/>
          <w:szCs w:val="32"/>
        </w:rPr>
        <w:t>预算支出总体绩效目标及具体措施，全部单独编制绩效文本。</w:t>
      </w:r>
    </w:p>
    <w:p>
      <w:pPr>
        <w:spacing w:line="560" w:lineRule="exact"/>
        <w:ind w:firstLine="630"/>
        <w:rPr>
          <w:rFonts w:ascii="黑体" w:hAnsi="宋体" w:eastAsia="黑体" w:cs="宋体"/>
          <w:sz w:val="32"/>
          <w:szCs w:val="32"/>
        </w:rPr>
      </w:pPr>
      <w:r>
        <w:rPr>
          <w:rFonts w:hint="eastAsia" w:ascii="黑体" w:hAnsi="宋体" w:eastAsia="黑体" w:cs="宋体"/>
          <w:sz w:val="32"/>
          <w:szCs w:val="32"/>
        </w:rPr>
        <w:t>六、其他有关事项说明</w:t>
      </w:r>
    </w:p>
    <w:p>
      <w:pPr>
        <w:ind w:firstLine="640" w:firstLineChars="200"/>
        <w:rPr>
          <w:rFonts w:ascii="宋体" w:hAnsi="宋体"/>
          <w:b/>
          <w:sz w:val="44"/>
          <w:szCs w:val="44"/>
        </w:rPr>
      </w:pPr>
      <w:r>
        <w:rPr>
          <w:rFonts w:hint="eastAsia" w:ascii="仿宋_GB2312" w:hAnsi="宋体" w:eastAsia="仿宋_GB2312" w:cs="宋体"/>
          <w:sz w:val="32"/>
          <w:szCs w:val="32"/>
        </w:rPr>
        <w:t>我县专项资金全部列入本级预算，</w:t>
      </w:r>
      <w:r>
        <w:rPr>
          <w:rFonts w:hint="eastAsia" w:ascii="仿宋_GB2312" w:hAnsi="宋体" w:eastAsia="仿宋_GB2312"/>
          <w:sz w:val="32"/>
          <w:szCs w:val="32"/>
        </w:rPr>
        <w:t>乡镇实行“统收统支”政策，</w:t>
      </w:r>
      <w:r>
        <w:rPr>
          <w:rFonts w:hint="eastAsia" w:ascii="仿宋_GB2312" w:hAnsi="宋体" w:eastAsia="仿宋_GB2312"/>
          <w:sz w:val="32"/>
          <w:szCs w:val="32"/>
          <w:lang w:eastAsia="zh-CN"/>
        </w:rPr>
        <w:t>202</w:t>
      </w:r>
      <w:r>
        <w:rPr>
          <w:rFonts w:hint="eastAsia" w:ascii="仿宋_GB2312" w:hAnsi="宋体" w:eastAsia="仿宋_GB2312"/>
          <w:sz w:val="32"/>
          <w:szCs w:val="32"/>
          <w:lang w:val="en-US" w:eastAsia="zh-CN"/>
        </w:rPr>
        <w:t>6</w:t>
      </w:r>
      <w:r>
        <w:rPr>
          <w:rFonts w:hint="eastAsia" w:ascii="仿宋_GB2312" w:hAnsi="宋体" w:eastAsia="仿宋_GB2312"/>
          <w:sz w:val="32"/>
          <w:szCs w:val="32"/>
          <w:lang w:eastAsia="zh-CN"/>
        </w:rPr>
        <w:t>年</w:t>
      </w:r>
      <w:r>
        <w:rPr>
          <w:rFonts w:hint="eastAsia" w:ascii="仿宋_GB2312" w:hAnsi="宋体" w:eastAsia="仿宋_GB2312"/>
          <w:sz w:val="32"/>
          <w:szCs w:val="32"/>
        </w:rPr>
        <w:t>预算没有安排对下转移支付支出。</w:t>
      </w:r>
      <w:r>
        <w:rPr>
          <w:rFonts w:hint="eastAsia" w:ascii="仿宋_GB2312" w:hAnsi="宋体" w:eastAsia="仿宋_GB2312" w:cs="宋体"/>
          <w:sz w:val="32"/>
          <w:szCs w:val="32"/>
        </w:rPr>
        <w:t>因此一般公共预算、基金预算和国有资本经营预算分项目、分地区情况表为空。</w:t>
      </w:r>
    </w:p>
    <w:p>
      <w:pPr>
        <w:pStyle w:val="14"/>
        <w:ind w:firstLine="0" w:firstLineChars="0"/>
        <w:jc w:val="center"/>
        <w:rPr>
          <w:rFonts w:hint="default"/>
          <w:b/>
          <w:bCs/>
          <w:sz w:val="32"/>
          <w:szCs w:val="32"/>
        </w:rPr>
      </w:pPr>
    </w:p>
    <w:sectPr>
      <w:pgSz w:w="11906" w:h="16838"/>
      <w:pgMar w:top="1440" w:right="1474" w:bottom="1440" w:left="1587" w:header="851" w:footer="992" w:gutter="0"/>
      <w:pgBorders>
        <w:top w:val="none" w:sz="0" w:space="0"/>
        <w:left w:val="none" w:sz="0" w:space="0"/>
        <w:bottom w:val="none" w:sz="0" w:space="0"/>
        <w:right w:val="none" w:sz="0" w:space="0"/>
      </w:pgBorders>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31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4F9C"/>
    <w:rsid w:val="000014B2"/>
    <w:rsid w:val="0000369C"/>
    <w:rsid w:val="000049C7"/>
    <w:rsid w:val="0001151E"/>
    <w:rsid w:val="000138FF"/>
    <w:rsid w:val="00026CBF"/>
    <w:rsid w:val="00042B06"/>
    <w:rsid w:val="00047E07"/>
    <w:rsid w:val="000836DB"/>
    <w:rsid w:val="000A08E1"/>
    <w:rsid w:val="000A73F1"/>
    <w:rsid w:val="000B0477"/>
    <w:rsid w:val="000B6BE5"/>
    <w:rsid w:val="000F171A"/>
    <w:rsid w:val="00100CD4"/>
    <w:rsid w:val="00161A28"/>
    <w:rsid w:val="00164DFE"/>
    <w:rsid w:val="00170FED"/>
    <w:rsid w:val="001849BA"/>
    <w:rsid w:val="0020336E"/>
    <w:rsid w:val="0026081B"/>
    <w:rsid w:val="00261B02"/>
    <w:rsid w:val="002B7D47"/>
    <w:rsid w:val="002C5C49"/>
    <w:rsid w:val="002D78BF"/>
    <w:rsid w:val="00304247"/>
    <w:rsid w:val="00314863"/>
    <w:rsid w:val="003432C3"/>
    <w:rsid w:val="003476E8"/>
    <w:rsid w:val="00350465"/>
    <w:rsid w:val="0038114D"/>
    <w:rsid w:val="003A5410"/>
    <w:rsid w:val="003B49A7"/>
    <w:rsid w:val="003E0E06"/>
    <w:rsid w:val="00431A56"/>
    <w:rsid w:val="004373C7"/>
    <w:rsid w:val="00440CBC"/>
    <w:rsid w:val="00452478"/>
    <w:rsid w:val="00453C08"/>
    <w:rsid w:val="00465A34"/>
    <w:rsid w:val="00482A8A"/>
    <w:rsid w:val="004A474D"/>
    <w:rsid w:val="004B553E"/>
    <w:rsid w:val="004B734D"/>
    <w:rsid w:val="004D0639"/>
    <w:rsid w:val="004D61A2"/>
    <w:rsid w:val="004D6DE9"/>
    <w:rsid w:val="00537E5F"/>
    <w:rsid w:val="005520C4"/>
    <w:rsid w:val="005C0D6E"/>
    <w:rsid w:val="005F35D2"/>
    <w:rsid w:val="00601448"/>
    <w:rsid w:val="006101B7"/>
    <w:rsid w:val="00634115"/>
    <w:rsid w:val="00645DDA"/>
    <w:rsid w:val="0067219E"/>
    <w:rsid w:val="00674F9C"/>
    <w:rsid w:val="00681B11"/>
    <w:rsid w:val="006B0765"/>
    <w:rsid w:val="00715CDD"/>
    <w:rsid w:val="00720247"/>
    <w:rsid w:val="00725AC7"/>
    <w:rsid w:val="00750B0B"/>
    <w:rsid w:val="007515B7"/>
    <w:rsid w:val="00784C48"/>
    <w:rsid w:val="007E3688"/>
    <w:rsid w:val="00806FC4"/>
    <w:rsid w:val="008227CD"/>
    <w:rsid w:val="00836AD4"/>
    <w:rsid w:val="00846D45"/>
    <w:rsid w:val="0089490F"/>
    <w:rsid w:val="00897116"/>
    <w:rsid w:val="008A28ED"/>
    <w:rsid w:val="008B310A"/>
    <w:rsid w:val="008B7C49"/>
    <w:rsid w:val="008D3D38"/>
    <w:rsid w:val="008F3227"/>
    <w:rsid w:val="00927105"/>
    <w:rsid w:val="00933D14"/>
    <w:rsid w:val="00965D2E"/>
    <w:rsid w:val="009A0C9B"/>
    <w:rsid w:val="009B12F6"/>
    <w:rsid w:val="009D5169"/>
    <w:rsid w:val="00A000E4"/>
    <w:rsid w:val="00A20088"/>
    <w:rsid w:val="00A331B0"/>
    <w:rsid w:val="00A369E6"/>
    <w:rsid w:val="00A378A1"/>
    <w:rsid w:val="00A41D24"/>
    <w:rsid w:val="00A451EF"/>
    <w:rsid w:val="00A9113A"/>
    <w:rsid w:val="00AA05AA"/>
    <w:rsid w:val="00AC0F92"/>
    <w:rsid w:val="00AC1805"/>
    <w:rsid w:val="00AC3F09"/>
    <w:rsid w:val="00AE1137"/>
    <w:rsid w:val="00AE4DE7"/>
    <w:rsid w:val="00B12608"/>
    <w:rsid w:val="00B35050"/>
    <w:rsid w:val="00B41681"/>
    <w:rsid w:val="00B46C85"/>
    <w:rsid w:val="00B50373"/>
    <w:rsid w:val="00B7608A"/>
    <w:rsid w:val="00B90916"/>
    <w:rsid w:val="00BC2795"/>
    <w:rsid w:val="00BE65B7"/>
    <w:rsid w:val="00C14473"/>
    <w:rsid w:val="00C160CC"/>
    <w:rsid w:val="00C21A9E"/>
    <w:rsid w:val="00C97EFA"/>
    <w:rsid w:val="00CB1679"/>
    <w:rsid w:val="00CC047E"/>
    <w:rsid w:val="00CD1B0B"/>
    <w:rsid w:val="00D3653B"/>
    <w:rsid w:val="00D50035"/>
    <w:rsid w:val="00D515A6"/>
    <w:rsid w:val="00D54B55"/>
    <w:rsid w:val="00D838F0"/>
    <w:rsid w:val="00DA4053"/>
    <w:rsid w:val="00DC5648"/>
    <w:rsid w:val="00DD1279"/>
    <w:rsid w:val="00DF00C4"/>
    <w:rsid w:val="00E05983"/>
    <w:rsid w:val="00E11FBC"/>
    <w:rsid w:val="00E24E09"/>
    <w:rsid w:val="00E403F0"/>
    <w:rsid w:val="00E515C3"/>
    <w:rsid w:val="00E64952"/>
    <w:rsid w:val="00E65D23"/>
    <w:rsid w:val="00E80567"/>
    <w:rsid w:val="00E96183"/>
    <w:rsid w:val="00EA3226"/>
    <w:rsid w:val="00F412D6"/>
    <w:rsid w:val="00F73F43"/>
    <w:rsid w:val="00F976D7"/>
    <w:rsid w:val="00F97A1B"/>
    <w:rsid w:val="00FC6567"/>
    <w:rsid w:val="00FD6D3F"/>
    <w:rsid w:val="0134533A"/>
    <w:rsid w:val="0203152A"/>
    <w:rsid w:val="021B39C1"/>
    <w:rsid w:val="0258348F"/>
    <w:rsid w:val="025D7A31"/>
    <w:rsid w:val="026C3189"/>
    <w:rsid w:val="02727074"/>
    <w:rsid w:val="02AB4CC8"/>
    <w:rsid w:val="041C7158"/>
    <w:rsid w:val="042227DF"/>
    <w:rsid w:val="04A02C9E"/>
    <w:rsid w:val="04EC1B94"/>
    <w:rsid w:val="055E085F"/>
    <w:rsid w:val="05F750AF"/>
    <w:rsid w:val="06E10610"/>
    <w:rsid w:val="06F61F10"/>
    <w:rsid w:val="072F503F"/>
    <w:rsid w:val="073774D5"/>
    <w:rsid w:val="075F7C2C"/>
    <w:rsid w:val="07C12657"/>
    <w:rsid w:val="07D05FA1"/>
    <w:rsid w:val="08236C88"/>
    <w:rsid w:val="085876E6"/>
    <w:rsid w:val="087B3B43"/>
    <w:rsid w:val="08BC443E"/>
    <w:rsid w:val="08D4644C"/>
    <w:rsid w:val="08DE07AF"/>
    <w:rsid w:val="09B7131D"/>
    <w:rsid w:val="0A0F0452"/>
    <w:rsid w:val="0A100B79"/>
    <w:rsid w:val="0A1E7616"/>
    <w:rsid w:val="0AD342F0"/>
    <w:rsid w:val="0B853354"/>
    <w:rsid w:val="0BD45584"/>
    <w:rsid w:val="0BEA7699"/>
    <w:rsid w:val="0C350EFC"/>
    <w:rsid w:val="0C590304"/>
    <w:rsid w:val="0CC61F01"/>
    <w:rsid w:val="0CEC0070"/>
    <w:rsid w:val="0D674719"/>
    <w:rsid w:val="0E0D2EA8"/>
    <w:rsid w:val="0E8455F6"/>
    <w:rsid w:val="0E897E97"/>
    <w:rsid w:val="0F0E689F"/>
    <w:rsid w:val="0F3444F4"/>
    <w:rsid w:val="0F9455C5"/>
    <w:rsid w:val="0FE63FB5"/>
    <w:rsid w:val="10B064FE"/>
    <w:rsid w:val="10B13BD2"/>
    <w:rsid w:val="10FD26D9"/>
    <w:rsid w:val="11475FE8"/>
    <w:rsid w:val="11605C31"/>
    <w:rsid w:val="119440DD"/>
    <w:rsid w:val="1246323C"/>
    <w:rsid w:val="125F50D7"/>
    <w:rsid w:val="12B16197"/>
    <w:rsid w:val="12F7420F"/>
    <w:rsid w:val="140C0259"/>
    <w:rsid w:val="14326340"/>
    <w:rsid w:val="14651B03"/>
    <w:rsid w:val="14AB19E0"/>
    <w:rsid w:val="14BA0BCF"/>
    <w:rsid w:val="14CC69BE"/>
    <w:rsid w:val="15394B7A"/>
    <w:rsid w:val="15546537"/>
    <w:rsid w:val="15677C9D"/>
    <w:rsid w:val="15B56425"/>
    <w:rsid w:val="15BB4A2D"/>
    <w:rsid w:val="16350868"/>
    <w:rsid w:val="16882F08"/>
    <w:rsid w:val="17501DB5"/>
    <w:rsid w:val="17E313BC"/>
    <w:rsid w:val="17FC11D2"/>
    <w:rsid w:val="17FD4D86"/>
    <w:rsid w:val="18674835"/>
    <w:rsid w:val="18786D1E"/>
    <w:rsid w:val="1923544D"/>
    <w:rsid w:val="19E0472C"/>
    <w:rsid w:val="19F04D07"/>
    <w:rsid w:val="1A04497A"/>
    <w:rsid w:val="1A9639B4"/>
    <w:rsid w:val="1B51108B"/>
    <w:rsid w:val="1B681E0E"/>
    <w:rsid w:val="1B8703CB"/>
    <w:rsid w:val="1B8B1502"/>
    <w:rsid w:val="1BB6332C"/>
    <w:rsid w:val="1C276D58"/>
    <w:rsid w:val="1C924535"/>
    <w:rsid w:val="1D303251"/>
    <w:rsid w:val="1DDC0D2F"/>
    <w:rsid w:val="1DDF2350"/>
    <w:rsid w:val="1E094DE3"/>
    <w:rsid w:val="1E2C3B3A"/>
    <w:rsid w:val="1E7D733A"/>
    <w:rsid w:val="1E7D7599"/>
    <w:rsid w:val="1ECA468E"/>
    <w:rsid w:val="1F123B6F"/>
    <w:rsid w:val="1F2D7B6A"/>
    <w:rsid w:val="1F5D6D65"/>
    <w:rsid w:val="20E52B4D"/>
    <w:rsid w:val="20E64C7A"/>
    <w:rsid w:val="22091144"/>
    <w:rsid w:val="221124DE"/>
    <w:rsid w:val="222C3B0A"/>
    <w:rsid w:val="22B93CDB"/>
    <w:rsid w:val="230F4901"/>
    <w:rsid w:val="2394718E"/>
    <w:rsid w:val="24785876"/>
    <w:rsid w:val="27466F51"/>
    <w:rsid w:val="2768421F"/>
    <w:rsid w:val="29141EEA"/>
    <w:rsid w:val="29FD7468"/>
    <w:rsid w:val="2A164FAB"/>
    <w:rsid w:val="2A39211F"/>
    <w:rsid w:val="2A5F42F1"/>
    <w:rsid w:val="2AD2715B"/>
    <w:rsid w:val="2B2C7ED7"/>
    <w:rsid w:val="2B343CC7"/>
    <w:rsid w:val="2B8478CD"/>
    <w:rsid w:val="2BCE6599"/>
    <w:rsid w:val="2BD650E5"/>
    <w:rsid w:val="2C1C4427"/>
    <w:rsid w:val="2C323297"/>
    <w:rsid w:val="2C656881"/>
    <w:rsid w:val="2C8C2E97"/>
    <w:rsid w:val="2CCB682F"/>
    <w:rsid w:val="2D483C56"/>
    <w:rsid w:val="2EE06CAE"/>
    <w:rsid w:val="2F6F209A"/>
    <w:rsid w:val="30320A83"/>
    <w:rsid w:val="30E8763E"/>
    <w:rsid w:val="31A02F11"/>
    <w:rsid w:val="32617B73"/>
    <w:rsid w:val="328647F5"/>
    <w:rsid w:val="344850F7"/>
    <w:rsid w:val="353B4F58"/>
    <w:rsid w:val="35431C3F"/>
    <w:rsid w:val="35D72D0C"/>
    <w:rsid w:val="36752ED0"/>
    <w:rsid w:val="36864DA8"/>
    <w:rsid w:val="375C2B99"/>
    <w:rsid w:val="37F26704"/>
    <w:rsid w:val="37F66CC2"/>
    <w:rsid w:val="386D55E0"/>
    <w:rsid w:val="396E465F"/>
    <w:rsid w:val="3992429D"/>
    <w:rsid w:val="39E0167C"/>
    <w:rsid w:val="3A9F3504"/>
    <w:rsid w:val="3AE64A20"/>
    <w:rsid w:val="3B5D3C0F"/>
    <w:rsid w:val="3B69400D"/>
    <w:rsid w:val="3B7F0D6D"/>
    <w:rsid w:val="3C3526D2"/>
    <w:rsid w:val="3CD21E20"/>
    <w:rsid w:val="3D1E4770"/>
    <w:rsid w:val="3EA54AC0"/>
    <w:rsid w:val="3F351665"/>
    <w:rsid w:val="3FA851BB"/>
    <w:rsid w:val="3FE53B51"/>
    <w:rsid w:val="401F7CD6"/>
    <w:rsid w:val="405E6EBE"/>
    <w:rsid w:val="408E1345"/>
    <w:rsid w:val="40986D00"/>
    <w:rsid w:val="40A20233"/>
    <w:rsid w:val="40D40E08"/>
    <w:rsid w:val="40DE197F"/>
    <w:rsid w:val="410B5631"/>
    <w:rsid w:val="422051D1"/>
    <w:rsid w:val="4292434C"/>
    <w:rsid w:val="43236961"/>
    <w:rsid w:val="43D25808"/>
    <w:rsid w:val="43EB587D"/>
    <w:rsid w:val="43FC7A8F"/>
    <w:rsid w:val="44376047"/>
    <w:rsid w:val="445C0434"/>
    <w:rsid w:val="445C1C18"/>
    <w:rsid w:val="45086C64"/>
    <w:rsid w:val="46B866E3"/>
    <w:rsid w:val="46BF26D7"/>
    <w:rsid w:val="46CA4153"/>
    <w:rsid w:val="46F457D9"/>
    <w:rsid w:val="475C7E81"/>
    <w:rsid w:val="476B326E"/>
    <w:rsid w:val="48FA4AD7"/>
    <w:rsid w:val="49EF4B17"/>
    <w:rsid w:val="4A1365E7"/>
    <w:rsid w:val="4AB37BE0"/>
    <w:rsid w:val="4B057FAA"/>
    <w:rsid w:val="4B3C68B0"/>
    <w:rsid w:val="4B757184"/>
    <w:rsid w:val="4BA61640"/>
    <w:rsid w:val="4BF10B9A"/>
    <w:rsid w:val="4C42689D"/>
    <w:rsid w:val="4CA64098"/>
    <w:rsid w:val="4D272D02"/>
    <w:rsid w:val="4D2E43DF"/>
    <w:rsid w:val="4D363B14"/>
    <w:rsid w:val="4D68748F"/>
    <w:rsid w:val="4D8A0926"/>
    <w:rsid w:val="4DAA227C"/>
    <w:rsid w:val="4DB74B23"/>
    <w:rsid w:val="4E274D04"/>
    <w:rsid w:val="4E635D3D"/>
    <w:rsid w:val="4E725EB8"/>
    <w:rsid w:val="4E790E08"/>
    <w:rsid w:val="4F5D39DC"/>
    <w:rsid w:val="4F671423"/>
    <w:rsid w:val="50176468"/>
    <w:rsid w:val="50C6514D"/>
    <w:rsid w:val="512E0325"/>
    <w:rsid w:val="513A36C6"/>
    <w:rsid w:val="518C7A1D"/>
    <w:rsid w:val="51A43E59"/>
    <w:rsid w:val="51D56403"/>
    <w:rsid w:val="51E069A5"/>
    <w:rsid w:val="52BB3068"/>
    <w:rsid w:val="52C342F7"/>
    <w:rsid w:val="52DB0537"/>
    <w:rsid w:val="53901505"/>
    <w:rsid w:val="53C649A3"/>
    <w:rsid w:val="546511F0"/>
    <w:rsid w:val="55BE0311"/>
    <w:rsid w:val="56437F3E"/>
    <w:rsid w:val="564D2EC9"/>
    <w:rsid w:val="56CA48F4"/>
    <w:rsid w:val="56FE0A40"/>
    <w:rsid w:val="575105C1"/>
    <w:rsid w:val="57930251"/>
    <w:rsid w:val="57A60D28"/>
    <w:rsid w:val="57FD22CE"/>
    <w:rsid w:val="591903A5"/>
    <w:rsid w:val="59AB3243"/>
    <w:rsid w:val="5AA903FD"/>
    <w:rsid w:val="5ABC5F70"/>
    <w:rsid w:val="5AC857D7"/>
    <w:rsid w:val="5B0913A3"/>
    <w:rsid w:val="5B6D2A60"/>
    <w:rsid w:val="5B887862"/>
    <w:rsid w:val="5BFB6125"/>
    <w:rsid w:val="5C6759D5"/>
    <w:rsid w:val="5C6D4BCE"/>
    <w:rsid w:val="5CBD3B7F"/>
    <w:rsid w:val="5D786A12"/>
    <w:rsid w:val="5E897246"/>
    <w:rsid w:val="5F2579E4"/>
    <w:rsid w:val="5F3A052A"/>
    <w:rsid w:val="5FDC246C"/>
    <w:rsid w:val="603500C2"/>
    <w:rsid w:val="614550E5"/>
    <w:rsid w:val="61B553B8"/>
    <w:rsid w:val="61BA26ED"/>
    <w:rsid w:val="61D626A2"/>
    <w:rsid w:val="61DD4337"/>
    <w:rsid w:val="6202692F"/>
    <w:rsid w:val="626363C7"/>
    <w:rsid w:val="626C4739"/>
    <w:rsid w:val="63177E35"/>
    <w:rsid w:val="631E5E89"/>
    <w:rsid w:val="63440AA4"/>
    <w:rsid w:val="64737F03"/>
    <w:rsid w:val="64E45587"/>
    <w:rsid w:val="655D00D3"/>
    <w:rsid w:val="65AF5D27"/>
    <w:rsid w:val="65F44EF5"/>
    <w:rsid w:val="662347F6"/>
    <w:rsid w:val="66AF0F6C"/>
    <w:rsid w:val="674A6A6E"/>
    <w:rsid w:val="67694B57"/>
    <w:rsid w:val="67AE0D60"/>
    <w:rsid w:val="67CD3B7F"/>
    <w:rsid w:val="67E47D9D"/>
    <w:rsid w:val="68576456"/>
    <w:rsid w:val="68DB506C"/>
    <w:rsid w:val="69161085"/>
    <w:rsid w:val="696B475D"/>
    <w:rsid w:val="69B9612F"/>
    <w:rsid w:val="6A352297"/>
    <w:rsid w:val="6A794776"/>
    <w:rsid w:val="6B352F6D"/>
    <w:rsid w:val="6B761A9D"/>
    <w:rsid w:val="6BE523D6"/>
    <w:rsid w:val="6C2A5858"/>
    <w:rsid w:val="6C43452D"/>
    <w:rsid w:val="6C91230E"/>
    <w:rsid w:val="6CA66CA7"/>
    <w:rsid w:val="6D226EE2"/>
    <w:rsid w:val="6E553DB0"/>
    <w:rsid w:val="6E5B3B23"/>
    <w:rsid w:val="6EAC7ADC"/>
    <w:rsid w:val="6ED11D74"/>
    <w:rsid w:val="711E2FDD"/>
    <w:rsid w:val="717B729C"/>
    <w:rsid w:val="718538F0"/>
    <w:rsid w:val="71963EDD"/>
    <w:rsid w:val="71F76F02"/>
    <w:rsid w:val="721E020B"/>
    <w:rsid w:val="72346761"/>
    <w:rsid w:val="724E19BA"/>
    <w:rsid w:val="725763DC"/>
    <w:rsid w:val="72580579"/>
    <w:rsid w:val="72A37EBB"/>
    <w:rsid w:val="72DC590F"/>
    <w:rsid w:val="73403A54"/>
    <w:rsid w:val="737A07EF"/>
    <w:rsid w:val="74137238"/>
    <w:rsid w:val="74672B90"/>
    <w:rsid w:val="75132C6B"/>
    <w:rsid w:val="758A0B63"/>
    <w:rsid w:val="75E100A2"/>
    <w:rsid w:val="76815BDF"/>
    <w:rsid w:val="777C3799"/>
    <w:rsid w:val="77F96D97"/>
    <w:rsid w:val="78862540"/>
    <w:rsid w:val="788A2EAF"/>
    <w:rsid w:val="789B2826"/>
    <w:rsid w:val="789F68EB"/>
    <w:rsid w:val="79B973BF"/>
    <w:rsid w:val="79F13FA4"/>
    <w:rsid w:val="7A450665"/>
    <w:rsid w:val="7A51088C"/>
    <w:rsid w:val="7B7378E9"/>
    <w:rsid w:val="7C375D5C"/>
    <w:rsid w:val="7C8703C5"/>
    <w:rsid w:val="7C990C0E"/>
    <w:rsid w:val="7CC6651D"/>
    <w:rsid w:val="7E0A0751"/>
    <w:rsid w:val="7E512031"/>
    <w:rsid w:val="7E64765E"/>
    <w:rsid w:val="7EA0234C"/>
    <w:rsid w:val="7F460253"/>
    <w:rsid w:val="7F706847"/>
    <w:rsid w:val="7FAE63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2"/>
    <w:basedOn w:val="1"/>
    <w:next w:val="1"/>
    <w:qFormat/>
    <w:uiPriority w:val="0"/>
    <w:pPr>
      <w:spacing w:before="100" w:beforeAutospacing="1" w:after="100" w:afterAutospacing="1"/>
      <w:jc w:val="left"/>
      <w:outlineLvl w:val="1"/>
    </w:pPr>
    <w:rPr>
      <w:rFonts w:hint="eastAsia" w:ascii="宋体" w:hAnsi="宋体" w:cs="宋体"/>
      <w:b/>
      <w:kern w:val="0"/>
      <w:sz w:val="36"/>
      <w:szCs w:val="36"/>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22"/>
    <w:qFormat/>
    <w:uiPriority w:val="0"/>
    <w:pPr>
      <w:spacing w:after="0" w:line="360" w:lineRule="auto"/>
      <w:ind w:left="0" w:leftChars="0" w:firstLine="420" w:firstLineChars="200"/>
      <w:textAlignment w:val="baseline"/>
    </w:pPr>
    <w:rPr>
      <w:rFonts w:hint="eastAsia"/>
      <w:sz w:val="24"/>
      <w:szCs w:val="24"/>
    </w:rPr>
  </w:style>
  <w:style w:type="paragraph" w:styleId="3">
    <w:name w:val="Body Text Indent"/>
    <w:basedOn w:val="1"/>
    <w:link w:val="21"/>
    <w:semiHidden/>
    <w:unhideWhenUsed/>
    <w:qFormat/>
    <w:uiPriority w:val="99"/>
    <w:pPr>
      <w:spacing w:after="120"/>
      <w:ind w:left="420" w:leftChars="200"/>
    </w:pPr>
  </w:style>
  <w:style w:type="paragraph" w:styleId="5">
    <w:name w:val="footer"/>
    <w:basedOn w:val="1"/>
    <w:link w:val="11"/>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character" w:styleId="9">
    <w:name w:val="FollowedHyperlink"/>
    <w:semiHidden/>
    <w:unhideWhenUsed/>
    <w:qFormat/>
    <w:uiPriority w:val="99"/>
    <w:rPr>
      <w:color w:val="800080"/>
      <w:u w:val="single"/>
    </w:rPr>
  </w:style>
  <w:style w:type="character" w:styleId="10">
    <w:name w:val="Hyperlink"/>
    <w:semiHidden/>
    <w:unhideWhenUsed/>
    <w:qFormat/>
    <w:uiPriority w:val="99"/>
    <w:rPr>
      <w:color w:val="0000FF"/>
      <w:u w:val="single"/>
    </w:rPr>
  </w:style>
  <w:style w:type="character" w:customStyle="1" w:styleId="11">
    <w:name w:val="页脚 Char"/>
    <w:link w:val="5"/>
    <w:semiHidden/>
    <w:qFormat/>
    <w:uiPriority w:val="0"/>
    <w:rPr>
      <w:sz w:val="18"/>
      <w:szCs w:val="18"/>
    </w:rPr>
  </w:style>
  <w:style w:type="paragraph" w:customStyle="1" w:styleId="12">
    <w:name w:val="Char Char Char Char Char Char Char Char Char Char Char Char Char"/>
    <w:basedOn w:val="1"/>
    <w:qFormat/>
    <w:uiPriority w:val="0"/>
  </w:style>
  <w:style w:type="character" w:customStyle="1" w:styleId="13">
    <w:name w:val="页眉 Char"/>
    <w:link w:val="6"/>
    <w:semiHidden/>
    <w:qFormat/>
    <w:uiPriority w:val="0"/>
    <w:rPr>
      <w:sz w:val="18"/>
      <w:szCs w:val="18"/>
    </w:rPr>
  </w:style>
  <w:style w:type="paragraph" w:customStyle="1" w:styleId="14">
    <w:name w:val="正文首行缩进 21"/>
    <w:basedOn w:val="15"/>
    <w:qFormat/>
    <w:uiPriority w:val="0"/>
    <w:pPr>
      <w:ind w:firstLine="420"/>
    </w:pPr>
  </w:style>
  <w:style w:type="paragraph" w:customStyle="1" w:styleId="15">
    <w:name w:val="正文文本缩进1"/>
    <w:basedOn w:val="1"/>
    <w:qFormat/>
    <w:uiPriority w:val="0"/>
    <w:pPr>
      <w:spacing w:line="360" w:lineRule="auto"/>
      <w:ind w:firstLine="200" w:firstLineChars="200"/>
      <w:textAlignment w:val="baseline"/>
    </w:pPr>
    <w:rPr>
      <w:rFonts w:hint="eastAsia"/>
      <w:sz w:val="24"/>
    </w:rPr>
  </w:style>
  <w:style w:type="paragraph" w:customStyle="1" w:styleId="16">
    <w:name w:val="p0"/>
    <w:basedOn w:val="1"/>
    <w:qFormat/>
    <w:uiPriority w:val="0"/>
    <w:pPr>
      <w:widowControl/>
    </w:pPr>
    <w:rPr>
      <w:rFonts w:cs="宋体"/>
      <w:kern w:val="0"/>
      <w:szCs w:val="21"/>
    </w:rPr>
  </w:style>
  <w:style w:type="paragraph" w:customStyle="1" w:styleId="17">
    <w:name w:val="默认段落字体 Para Char Char Char Char Char Char Char"/>
    <w:basedOn w:val="1"/>
    <w:qFormat/>
    <w:uiPriority w:val="0"/>
    <w:pPr>
      <w:tabs>
        <w:tab w:val="right" w:pos="-2120"/>
      </w:tabs>
      <w:snapToGrid w:val="0"/>
    </w:pPr>
    <w:rPr>
      <w:rFonts w:hint="eastAsia"/>
    </w:rPr>
  </w:style>
  <w:style w:type="character" w:customStyle="1" w:styleId="18">
    <w:name w:val="页码1"/>
    <w:basedOn w:val="8"/>
    <w:qFormat/>
    <w:uiPriority w:val="0"/>
  </w:style>
  <w:style w:type="character" w:customStyle="1" w:styleId="19">
    <w:name w:val="font21"/>
    <w:qFormat/>
    <w:uiPriority w:val="0"/>
    <w:rPr>
      <w:rFonts w:hint="eastAsia" w:ascii="宋体" w:hAnsi="宋体" w:eastAsia="宋体" w:cs="宋体"/>
      <w:color w:val="000000"/>
      <w:sz w:val="22"/>
      <w:szCs w:val="22"/>
      <w:u w:val="none"/>
    </w:rPr>
  </w:style>
  <w:style w:type="character" w:customStyle="1" w:styleId="20">
    <w:name w:val="font41"/>
    <w:qFormat/>
    <w:uiPriority w:val="0"/>
    <w:rPr>
      <w:rFonts w:hint="eastAsia" w:ascii="宋体" w:hAnsi="宋体" w:eastAsia="宋体" w:cs="宋体"/>
      <w:color w:val="000000"/>
      <w:sz w:val="24"/>
      <w:szCs w:val="24"/>
      <w:u w:val="none"/>
    </w:rPr>
  </w:style>
  <w:style w:type="character" w:customStyle="1" w:styleId="21">
    <w:name w:val="正文文本缩进 Char"/>
    <w:link w:val="3"/>
    <w:semiHidden/>
    <w:qFormat/>
    <w:uiPriority w:val="99"/>
    <w:rPr>
      <w:rFonts w:ascii="Calibri" w:hAnsi="Calibri" w:cs="黑体"/>
      <w:kern w:val="2"/>
      <w:sz w:val="21"/>
      <w:szCs w:val="22"/>
    </w:rPr>
  </w:style>
  <w:style w:type="character" w:customStyle="1" w:styleId="22">
    <w:name w:val="正文首行缩进 2 Char"/>
    <w:link w:val="2"/>
    <w:qFormat/>
    <w:uiPriority w:val="0"/>
    <w:rPr>
      <w:rFonts w:ascii="Calibri" w:hAnsi="Calibri" w:cs="黑体"/>
      <w:kern w:val="2"/>
      <w:sz w:val="24"/>
      <w:szCs w:val="24"/>
    </w:rPr>
  </w:style>
  <w:style w:type="character" w:customStyle="1" w:styleId="23">
    <w:name w:val="font31"/>
    <w:qFormat/>
    <w:uiPriority w:val="0"/>
    <w:rPr>
      <w:rFonts w:hint="eastAsia" w:ascii="宋体" w:hAnsi="宋体" w:eastAsia="宋体"/>
      <w:b/>
      <w:bCs/>
      <w:color w:val="000000"/>
      <w:sz w:val="22"/>
      <w:szCs w:val="22"/>
      <w:u w:val="none"/>
    </w:rPr>
  </w:style>
  <w:style w:type="character" w:customStyle="1" w:styleId="24">
    <w:name w:val="font51"/>
    <w:qFormat/>
    <w:uiPriority w:val="0"/>
    <w:rPr>
      <w:rFonts w:hint="default" w:ascii="Times New Roman" w:hAnsi="Times New Roman" w:cs="Times New Roman"/>
      <w:b/>
      <w:bCs/>
      <w:color w:val="000000"/>
      <w:sz w:val="22"/>
      <w:szCs w:val="22"/>
      <w:u w:val="none"/>
    </w:rPr>
  </w:style>
  <w:style w:type="paragraph" w:customStyle="1" w:styleId="2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26">
    <w:name w:val="font6"/>
    <w:basedOn w:val="1"/>
    <w:qFormat/>
    <w:uiPriority w:val="0"/>
    <w:pPr>
      <w:widowControl/>
      <w:spacing w:before="100" w:beforeAutospacing="1" w:after="100" w:afterAutospacing="1"/>
      <w:jc w:val="left"/>
    </w:pPr>
    <w:rPr>
      <w:rFonts w:ascii="宋体" w:hAnsi="宋体" w:cs="宋体"/>
      <w:kern w:val="0"/>
      <w:sz w:val="22"/>
    </w:rPr>
  </w:style>
  <w:style w:type="paragraph" w:customStyle="1" w:styleId="27">
    <w:name w:val="font7"/>
    <w:basedOn w:val="1"/>
    <w:qFormat/>
    <w:uiPriority w:val="0"/>
    <w:pPr>
      <w:widowControl/>
      <w:spacing w:before="100" w:beforeAutospacing="1" w:after="100" w:afterAutospacing="1"/>
      <w:jc w:val="left"/>
    </w:pPr>
    <w:rPr>
      <w:rFonts w:ascii="宋体" w:hAnsi="宋体" w:cs="宋体"/>
      <w:kern w:val="0"/>
      <w:sz w:val="22"/>
    </w:rPr>
  </w:style>
  <w:style w:type="paragraph" w:customStyle="1" w:styleId="2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2"/>
    </w:rPr>
  </w:style>
  <w:style w:type="paragraph" w:customStyle="1" w:styleId="29">
    <w:name w:val="xl77"/>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3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32">
    <w:name w:val="xl8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33">
    <w:name w:val="xl8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34">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35">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36">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22"/>
    </w:rPr>
  </w:style>
  <w:style w:type="paragraph" w:customStyle="1" w:styleId="37">
    <w:name w:val="xl85"/>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left"/>
      <w:textAlignment w:val="center"/>
    </w:pPr>
    <w:rPr>
      <w:rFonts w:ascii="宋体" w:hAnsi="宋体" w:cs="宋体"/>
      <w:color w:val="000000"/>
      <w:kern w:val="0"/>
      <w:sz w:val="22"/>
    </w:rPr>
  </w:style>
  <w:style w:type="paragraph" w:customStyle="1" w:styleId="38">
    <w:name w:val="xl86"/>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left"/>
      <w:textAlignment w:val="center"/>
    </w:pPr>
    <w:rPr>
      <w:rFonts w:ascii="宋体" w:hAnsi="宋体" w:cs="宋体"/>
      <w:color w:val="000000"/>
      <w:kern w:val="0"/>
      <w:sz w:val="22"/>
    </w:rPr>
  </w:style>
  <w:style w:type="paragraph" w:customStyle="1" w:styleId="39">
    <w:name w:val="xl87"/>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left"/>
      <w:textAlignment w:val="center"/>
    </w:pPr>
    <w:rPr>
      <w:rFonts w:ascii="宋体" w:hAnsi="宋体" w:cs="宋体"/>
      <w:color w:val="000000"/>
      <w:kern w:val="0"/>
      <w:sz w:val="22"/>
    </w:rPr>
  </w:style>
  <w:style w:type="paragraph" w:customStyle="1" w:styleId="40">
    <w:name w:val="xl88"/>
    <w:basedOn w:val="1"/>
    <w:qFormat/>
    <w:uiPriority w:val="0"/>
    <w:pPr>
      <w:widowControl/>
      <w:pBdr>
        <w:left w:val="single" w:color="000000" w:sz="4" w:space="0"/>
        <w:bottom w:val="single" w:color="000000" w:sz="4" w:space="0"/>
        <w:right w:val="single" w:color="000000" w:sz="4" w:space="0"/>
      </w:pBdr>
      <w:shd w:val="clear" w:color="000000" w:fill="FFFFFF"/>
      <w:spacing w:before="100" w:beforeAutospacing="1" w:after="100" w:afterAutospacing="1"/>
      <w:jc w:val="left"/>
      <w:textAlignment w:val="center"/>
    </w:pPr>
    <w:rPr>
      <w:rFonts w:ascii="宋体" w:hAnsi="宋体" w:cs="宋体"/>
      <w:color w:val="000000"/>
      <w:kern w:val="0"/>
      <w:sz w:val="22"/>
    </w:rPr>
  </w:style>
  <w:style w:type="paragraph" w:customStyle="1" w:styleId="41">
    <w:name w:val="xl89"/>
    <w:basedOn w:val="1"/>
    <w:qFormat/>
    <w:uiPriority w:val="0"/>
    <w:pPr>
      <w:widowControl/>
      <w:pBdr>
        <w:top w:val="single" w:color="000000" w:sz="4" w:space="0"/>
        <w:left w:val="single" w:color="000000" w:sz="4" w:space="0"/>
        <w:bottom w:val="single" w:color="000000" w:sz="4" w:space="0"/>
      </w:pBdr>
      <w:shd w:val="clear" w:color="000000" w:fill="FFFFFF"/>
      <w:spacing w:before="100" w:beforeAutospacing="1" w:after="100" w:afterAutospacing="1"/>
      <w:jc w:val="left"/>
      <w:textAlignment w:val="center"/>
    </w:pPr>
    <w:rPr>
      <w:rFonts w:ascii="宋体" w:hAnsi="宋体" w:cs="宋体"/>
      <w:color w:val="000000"/>
      <w:kern w:val="0"/>
      <w:sz w:val="22"/>
    </w:rPr>
  </w:style>
  <w:style w:type="paragraph" w:customStyle="1" w:styleId="42">
    <w:name w:val="xl9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43">
    <w:name w:val="xl91"/>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2"/>
    </w:rPr>
  </w:style>
  <w:style w:type="paragraph" w:customStyle="1" w:styleId="44">
    <w:name w:val="xl9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45">
    <w:name w:val="xl9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4"/>
      <w:szCs w:val="24"/>
    </w:rPr>
  </w:style>
  <w:style w:type="paragraph" w:customStyle="1" w:styleId="46">
    <w:name w:val="xl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47">
    <w:name w:val="xl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48">
    <w:name w:val="xl96"/>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49">
    <w:name w:val="xl97"/>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center"/>
      <w:textAlignment w:val="center"/>
    </w:pPr>
    <w:rPr>
      <w:rFonts w:ascii="宋体" w:hAnsi="宋体" w:cs="宋体"/>
      <w:b/>
      <w:bCs/>
      <w:kern w:val="0"/>
      <w:sz w:val="22"/>
    </w:rPr>
  </w:style>
  <w:style w:type="paragraph" w:customStyle="1" w:styleId="50">
    <w:name w:val="xl9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1">
    <w:name w:val="xl99"/>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2">
    <w:name w:val="xl100"/>
    <w:basedOn w:val="1"/>
    <w:qFormat/>
    <w:uiPriority w:val="0"/>
    <w:pPr>
      <w:widowControl/>
      <w:pBdr>
        <w:top w:val="single" w:color="000000" w:sz="4" w:space="0"/>
        <w:left w:val="single" w:color="000000" w:sz="4" w:space="0"/>
        <w:bottom w:val="single" w:color="000000" w:sz="4" w:space="0"/>
        <w:right w:val="single" w:color="000000"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3">
    <w:name w:val="xl10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4">
    <w:name w:val="xl102"/>
    <w:basedOn w:val="1"/>
    <w:qFormat/>
    <w:uiPriority w:val="0"/>
    <w:pPr>
      <w:widowControl/>
      <w:pBdr>
        <w:top w:val="single" w:color="000000" w:sz="4" w:space="0"/>
        <w:left w:val="single" w:color="000000" w:sz="4" w:space="0"/>
        <w:right w:val="single" w:color="000000"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5">
    <w:name w:val="xl10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2"/>
    </w:rPr>
  </w:style>
  <w:style w:type="paragraph" w:customStyle="1" w:styleId="56">
    <w:name w:val="xl104"/>
    <w:basedOn w:val="1"/>
    <w:qFormat/>
    <w:uiPriority w:val="0"/>
    <w:pPr>
      <w:widowControl/>
      <w:shd w:val="clear" w:color="000000" w:fill="FFFFFF"/>
      <w:spacing w:before="100" w:beforeAutospacing="1" w:after="100" w:afterAutospacing="1"/>
      <w:jc w:val="center"/>
    </w:pPr>
    <w:rPr>
      <w:rFonts w:ascii="宋体" w:hAnsi="宋体" w:cs="宋体"/>
      <w:kern w:val="0"/>
      <w:sz w:val="24"/>
      <w:szCs w:val="24"/>
    </w:rPr>
  </w:style>
  <w:style w:type="character" w:customStyle="1" w:styleId="57">
    <w:name w:val="font11"/>
    <w:basedOn w:val="8"/>
    <w:qFormat/>
    <w:uiPriority w:val="0"/>
    <w:rPr>
      <w:rFonts w:hint="eastAsia" w:ascii="宋体" w:hAnsi="宋体" w:eastAsia="宋体" w:cs="宋体"/>
      <w:color w:val="000000"/>
      <w:sz w:val="22"/>
      <w:szCs w:val="22"/>
      <w:u w:val="none"/>
    </w:rPr>
  </w:style>
  <w:style w:type="paragraph" w:customStyle="1" w:styleId="58">
    <w:name w:val="Table Paragraph"/>
    <w:basedOn w:val="1"/>
    <w:unhideWhenUsed/>
    <w:qFormat/>
    <w:uiPriority w:val="1"/>
    <w:pPr>
      <w:spacing w:beforeLines="0" w:afterLines="0"/>
    </w:pPr>
    <w:rPr>
      <w:rFonts w:hint="default"/>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76</Pages>
  <Words>6640</Words>
  <Characters>37852</Characters>
  <Lines>315</Lines>
  <Paragraphs>88</Paragraphs>
  <TotalTime>37</TotalTime>
  <ScaleCrop>false</ScaleCrop>
  <LinksUpToDate>false</LinksUpToDate>
  <CharactersWithSpaces>44404</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2017-03-12T17:25:00Z</dcterms:created>
  <dc:creator>null,null,总收发</dc:creator>
  <cp:lastModifiedBy>lenovo</cp:lastModifiedBy>
  <cp:lastPrinted>2022-03-23T09:10:00Z</cp:lastPrinted>
  <dcterms:modified xsi:type="dcterms:W3CDTF">2026-03-23T08:47:22Z</dcterms:modified>
  <dc:title>lenovo</dc:title>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D563C1C733C34DEA854393972A36AE2E</vt:lpwstr>
  </property>
</Properties>
</file>