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overflowPunct w:val="0"/>
        <w:topLinePunct/>
        <w:spacing w:line="600" w:lineRule="exact"/>
        <w:rPr>
          <w:rFonts w:hint="eastAsia" w:ascii="宋体" w:hAnsi="宋体" w:eastAsia="黑体"/>
          <w:sz w:val="28"/>
          <w:szCs w:val="28"/>
          <w:highlight w:val="none"/>
        </w:rPr>
      </w:pPr>
      <w:r>
        <w:rPr>
          <w:rFonts w:hint="eastAsia" w:ascii="宋体" w:hAnsi="宋体" w:eastAsia="黑体"/>
          <w:sz w:val="28"/>
          <w:szCs w:val="28"/>
          <w:highlight w:val="none"/>
        </w:rPr>
        <w:t>元氏县第十七届人大常委会</w:t>
      </w:r>
    </w:p>
    <w:p>
      <w:pPr>
        <w:overflowPunct w:val="0"/>
        <w:topLinePunct/>
        <w:spacing w:line="600" w:lineRule="exact"/>
        <w:rPr>
          <w:rFonts w:hint="eastAsia" w:ascii="宋体" w:hAnsi="宋体" w:eastAsia="黑体"/>
          <w:color w:val="000000"/>
          <w:sz w:val="28"/>
          <w:szCs w:val="28"/>
          <w:highlight w:val="none"/>
        </w:rPr>
      </w:pPr>
      <w:r>
        <w:rPr>
          <w:rFonts w:hint="eastAsia" w:ascii="宋体" w:hAnsi="宋体" w:eastAsia="黑体"/>
          <w:color w:val="000000"/>
          <w:spacing w:val="51"/>
          <w:sz w:val="28"/>
          <w:szCs w:val="28"/>
          <w:highlight w:val="none"/>
        </w:rPr>
        <w:t>第</w:t>
      </w:r>
      <w:r>
        <w:rPr>
          <w:rFonts w:hint="eastAsia" w:eastAsia="黑体"/>
          <w:color w:val="000000"/>
          <w:spacing w:val="51"/>
          <w:sz w:val="28"/>
          <w:szCs w:val="28"/>
          <w:highlight w:val="none"/>
          <w:lang w:val="en-US" w:eastAsia="zh-CN"/>
        </w:rPr>
        <w:t>四</w:t>
      </w:r>
      <w:r>
        <w:rPr>
          <w:rFonts w:hint="eastAsia" w:ascii="宋体" w:hAnsi="宋体" w:eastAsia="黑体"/>
          <w:color w:val="000000"/>
          <w:spacing w:val="51"/>
          <w:sz w:val="28"/>
          <w:szCs w:val="28"/>
          <w:highlight w:val="none"/>
          <w:lang w:eastAsia="zh-CN"/>
        </w:rPr>
        <w:t>十</w:t>
      </w:r>
      <w:r>
        <w:rPr>
          <w:rFonts w:hint="eastAsia" w:eastAsia="黑体"/>
          <w:color w:val="000000"/>
          <w:spacing w:val="51"/>
          <w:sz w:val="28"/>
          <w:szCs w:val="28"/>
          <w:highlight w:val="none"/>
          <w:lang w:val="en-US" w:eastAsia="zh-CN"/>
        </w:rPr>
        <w:t>二</w:t>
      </w:r>
      <w:r>
        <w:rPr>
          <w:rFonts w:hint="eastAsia" w:ascii="宋体" w:hAnsi="宋体" w:eastAsia="黑体"/>
          <w:color w:val="000000"/>
          <w:spacing w:val="51"/>
          <w:sz w:val="28"/>
          <w:szCs w:val="28"/>
          <w:highlight w:val="none"/>
        </w:rPr>
        <w:t>次会议文件</w:t>
      </w:r>
    </w:p>
    <w:p>
      <w:pPr>
        <w:overflowPunct w:val="0"/>
        <w:topLinePunct/>
        <w:spacing w:line="600" w:lineRule="exact"/>
        <w:ind w:firstLine="883" w:firstLineChars="200"/>
        <w:rPr>
          <w:rFonts w:hint="eastAsia" w:ascii="宋体" w:hAnsi="宋体"/>
          <w:b/>
          <w:sz w:val="44"/>
          <w:szCs w:val="44"/>
          <w:highlight w:val="none"/>
        </w:rPr>
      </w:pPr>
    </w:p>
    <w:p>
      <w:pPr>
        <w:widowControl w:val="0"/>
        <w:spacing w:line="600" w:lineRule="exact"/>
        <w:jc w:val="center"/>
        <w:rPr>
          <w:b/>
          <w:sz w:val="44"/>
          <w:szCs w:val="44"/>
          <w:highlight w:val="none"/>
        </w:rPr>
      </w:pPr>
      <w:r>
        <w:rPr>
          <w:rFonts w:hint="eastAsia"/>
          <w:b/>
          <w:sz w:val="44"/>
          <w:szCs w:val="44"/>
          <w:highlight w:val="none"/>
        </w:rPr>
        <w:t>元氏县人民政府</w:t>
      </w:r>
    </w:p>
    <w:p>
      <w:pPr>
        <w:widowControl w:val="0"/>
        <w:spacing w:line="600" w:lineRule="exact"/>
        <w:jc w:val="center"/>
        <w:rPr>
          <w:b/>
          <w:sz w:val="44"/>
          <w:szCs w:val="44"/>
          <w:highlight w:val="none"/>
        </w:rPr>
      </w:pPr>
      <w:r>
        <w:rPr>
          <w:rFonts w:hint="eastAsia"/>
          <w:b/>
          <w:sz w:val="44"/>
          <w:szCs w:val="44"/>
          <w:highlight w:val="none"/>
        </w:rPr>
        <w:t>关于提请审议202</w:t>
      </w:r>
      <w:r>
        <w:rPr>
          <w:rFonts w:hint="eastAsia"/>
          <w:b/>
          <w:sz w:val="44"/>
          <w:szCs w:val="44"/>
          <w:highlight w:val="none"/>
          <w:lang w:val="en-US" w:eastAsia="zh-CN"/>
        </w:rPr>
        <w:t>5</w:t>
      </w:r>
      <w:r>
        <w:rPr>
          <w:rFonts w:hint="eastAsia"/>
          <w:b/>
          <w:sz w:val="44"/>
          <w:szCs w:val="44"/>
          <w:highlight w:val="none"/>
        </w:rPr>
        <w:t>年县财政预算调整</w:t>
      </w:r>
    </w:p>
    <w:p>
      <w:pPr>
        <w:widowControl w:val="0"/>
        <w:spacing w:line="600" w:lineRule="exact"/>
        <w:jc w:val="center"/>
        <w:rPr>
          <w:b/>
          <w:sz w:val="44"/>
          <w:szCs w:val="44"/>
          <w:highlight w:val="none"/>
        </w:rPr>
      </w:pPr>
      <w:r>
        <w:rPr>
          <w:rFonts w:hint="eastAsia"/>
          <w:b/>
          <w:sz w:val="44"/>
          <w:szCs w:val="44"/>
          <w:highlight w:val="none"/>
        </w:rPr>
        <w:t>方案（草案）议案</w:t>
      </w:r>
    </w:p>
    <w:p>
      <w:pPr>
        <w:widowControl w:val="0"/>
        <w:spacing w:line="600" w:lineRule="exact"/>
        <w:rPr>
          <w:rFonts w:eastAsia="仿宋_GB2312"/>
          <w:sz w:val="32"/>
          <w:szCs w:val="32"/>
          <w:highlight w:val="none"/>
        </w:rPr>
      </w:pPr>
    </w:p>
    <w:p>
      <w:pPr>
        <w:widowControl w:val="0"/>
        <w:spacing w:line="600" w:lineRule="exact"/>
        <w:rPr>
          <w:rFonts w:eastAsia="仿宋" w:cs="仿宋"/>
          <w:sz w:val="32"/>
          <w:szCs w:val="32"/>
          <w:highlight w:val="none"/>
        </w:rPr>
      </w:pPr>
      <w:r>
        <w:rPr>
          <w:rFonts w:hint="eastAsia" w:eastAsia="仿宋" w:cs="仿宋"/>
          <w:sz w:val="32"/>
          <w:szCs w:val="32"/>
          <w:highlight w:val="none"/>
        </w:rPr>
        <w:t>县人大常委会：</w:t>
      </w:r>
    </w:p>
    <w:p>
      <w:pPr>
        <w:widowControl w:val="0"/>
        <w:spacing w:line="600" w:lineRule="exact"/>
        <w:ind w:firstLine="640" w:firstLineChars="200"/>
        <w:rPr>
          <w:rFonts w:eastAsia="仿宋" w:cs="仿宋"/>
          <w:sz w:val="32"/>
          <w:szCs w:val="32"/>
          <w:highlight w:val="none"/>
        </w:rPr>
      </w:pPr>
      <w:r>
        <w:rPr>
          <w:rFonts w:hint="eastAsia" w:eastAsia="仿宋" w:cs="仿宋"/>
          <w:sz w:val="32"/>
          <w:szCs w:val="32"/>
          <w:highlight w:val="none"/>
        </w:rPr>
        <w:t>按照《预算法》和《河北省预算审查监督条例》有关规定，需调整202</w:t>
      </w:r>
      <w:r>
        <w:rPr>
          <w:rFonts w:hint="eastAsia" w:eastAsia="仿宋" w:cs="仿宋"/>
          <w:sz w:val="32"/>
          <w:szCs w:val="32"/>
          <w:highlight w:val="none"/>
          <w:lang w:val="en-US" w:eastAsia="zh-CN"/>
        </w:rPr>
        <w:t>5</w:t>
      </w:r>
      <w:r>
        <w:rPr>
          <w:rFonts w:hint="eastAsia" w:eastAsia="仿宋" w:cs="仿宋"/>
          <w:sz w:val="32"/>
          <w:szCs w:val="32"/>
          <w:highlight w:val="none"/>
        </w:rPr>
        <w:t>年县一般公共预算、政府性基金预算、</w:t>
      </w:r>
      <w:r>
        <w:rPr>
          <w:rFonts w:hint="eastAsia" w:eastAsia="仿宋" w:cs="仿宋"/>
          <w:sz w:val="32"/>
          <w:szCs w:val="32"/>
          <w:highlight w:val="none"/>
          <w:lang w:eastAsia="zh-CN"/>
        </w:rPr>
        <w:t>社会保险基金预算、</w:t>
      </w:r>
      <w:r>
        <w:rPr>
          <w:rFonts w:hint="eastAsia" w:eastAsia="仿宋" w:cs="仿宋"/>
          <w:bCs/>
          <w:color w:val="000000"/>
          <w:sz w:val="32"/>
          <w:szCs w:val="32"/>
          <w:highlight w:val="none"/>
        </w:rPr>
        <w:t>收回可用财政存量资金、</w:t>
      </w:r>
      <w:r>
        <w:rPr>
          <w:rFonts w:hint="eastAsia" w:eastAsia="仿宋" w:cs="仿宋"/>
          <w:sz w:val="32"/>
          <w:szCs w:val="32"/>
          <w:highlight w:val="none"/>
        </w:rPr>
        <w:t>政府性债务限额。现将《202</w:t>
      </w:r>
      <w:r>
        <w:rPr>
          <w:rFonts w:hint="eastAsia" w:eastAsia="仿宋" w:cs="仿宋"/>
          <w:sz w:val="32"/>
          <w:szCs w:val="32"/>
          <w:highlight w:val="none"/>
          <w:lang w:val="en-US" w:eastAsia="zh-CN"/>
        </w:rPr>
        <w:t>5</w:t>
      </w:r>
      <w:r>
        <w:rPr>
          <w:rFonts w:hint="eastAsia" w:eastAsia="仿宋" w:cs="仿宋"/>
          <w:sz w:val="32"/>
          <w:szCs w:val="32"/>
          <w:highlight w:val="none"/>
        </w:rPr>
        <w:t>年县财政预算调整方案（草案）》提请县第</w:t>
      </w:r>
      <w:r>
        <w:rPr>
          <w:rFonts w:hint="eastAsia" w:eastAsia="仿宋" w:cs="仿宋"/>
          <w:sz w:val="32"/>
          <w:szCs w:val="32"/>
          <w:highlight w:val="none"/>
          <w:lang w:val="en-US" w:eastAsia="zh-CN"/>
        </w:rPr>
        <w:t>十七届</w:t>
      </w:r>
      <w:r>
        <w:rPr>
          <w:rFonts w:hint="eastAsia" w:eastAsia="仿宋" w:cs="仿宋"/>
          <w:sz w:val="32"/>
          <w:szCs w:val="32"/>
          <w:highlight w:val="none"/>
        </w:rPr>
        <w:t>人大常委会第</w:t>
      </w:r>
      <w:r>
        <w:rPr>
          <w:rFonts w:hint="eastAsia" w:eastAsia="仿宋" w:cs="仿宋"/>
          <w:sz w:val="32"/>
          <w:szCs w:val="32"/>
          <w:highlight w:val="none"/>
          <w:lang w:val="en-US" w:eastAsia="zh-CN"/>
        </w:rPr>
        <w:t>四十二</w:t>
      </w:r>
      <w:r>
        <w:rPr>
          <w:rFonts w:hint="eastAsia" w:eastAsia="仿宋" w:cs="仿宋"/>
          <w:sz w:val="32"/>
          <w:szCs w:val="32"/>
          <w:highlight w:val="none"/>
        </w:rPr>
        <w:t>次会议审议。</w:t>
      </w:r>
    </w:p>
    <w:p>
      <w:pPr>
        <w:widowControl w:val="0"/>
        <w:spacing w:line="600" w:lineRule="exact"/>
        <w:ind w:firstLine="640" w:firstLineChars="200"/>
        <w:rPr>
          <w:rFonts w:eastAsia="仿宋" w:cs="仿宋"/>
          <w:sz w:val="32"/>
          <w:szCs w:val="32"/>
          <w:highlight w:val="none"/>
        </w:rPr>
      </w:pPr>
    </w:p>
    <w:p>
      <w:pPr>
        <w:widowControl w:val="0"/>
        <w:spacing w:line="600" w:lineRule="exact"/>
        <w:ind w:firstLine="640" w:firstLineChars="200"/>
        <w:rPr>
          <w:rFonts w:eastAsia="仿宋" w:cs="仿宋"/>
          <w:sz w:val="32"/>
          <w:szCs w:val="32"/>
          <w:highlight w:val="none"/>
        </w:rPr>
      </w:pPr>
    </w:p>
    <w:p>
      <w:pPr>
        <w:widowControl w:val="0"/>
        <w:spacing w:line="600" w:lineRule="exact"/>
        <w:ind w:firstLine="640" w:firstLineChars="200"/>
        <w:rPr>
          <w:rFonts w:eastAsia="仿宋" w:cs="仿宋"/>
          <w:sz w:val="32"/>
          <w:szCs w:val="32"/>
          <w:highlight w:val="none"/>
        </w:rPr>
      </w:pPr>
    </w:p>
    <w:p>
      <w:pPr>
        <w:widowControl w:val="0"/>
        <w:spacing w:line="600" w:lineRule="exact"/>
        <w:ind w:firstLine="5440" w:firstLineChars="1700"/>
        <w:rPr>
          <w:rFonts w:eastAsia="仿宋" w:cs="仿宋"/>
          <w:sz w:val="32"/>
          <w:szCs w:val="32"/>
          <w:highlight w:val="none"/>
        </w:rPr>
      </w:pPr>
      <w:r>
        <w:rPr>
          <w:rFonts w:hint="eastAsia" w:eastAsia="仿宋" w:cs="仿宋"/>
          <w:sz w:val="32"/>
          <w:szCs w:val="32"/>
          <w:highlight w:val="none"/>
        </w:rPr>
        <w:t>元氏县人民政府</w:t>
      </w:r>
    </w:p>
    <w:p>
      <w:pPr>
        <w:widowControl w:val="0"/>
        <w:spacing w:line="600" w:lineRule="exact"/>
        <w:ind w:firstLine="5280" w:firstLineChars="1650"/>
        <w:rPr>
          <w:rFonts w:eastAsia="仿宋" w:cs="仿宋"/>
          <w:sz w:val="32"/>
          <w:szCs w:val="32"/>
          <w:highlight w:val="none"/>
        </w:rPr>
      </w:pPr>
      <w:r>
        <w:rPr>
          <w:rFonts w:hint="eastAsia" w:eastAsia="仿宋" w:cs="仿宋"/>
          <w:sz w:val="32"/>
          <w:szCs w:val="32"/>
          <w:highlight w:val="none"/>
        </w:rPr>
        <w:t>202</w:t>
      </w:r>
      <w:r>
        <w:rPr>
          <w:rFonts w:hint="eastAsia" w:eastAsia="仿宋" w:cs="仿宋"/>
          <w:sz w:val="32"/>
          <w:szCs w:val="32"/>
          <w:highlight w:val="none"/>
          <w:lang w:val="en-US" w:eastAsia="zh-CN"/>
        </w:rPr>
        <w:t>5</w:t>
      </w:r>
      <w:r>
        <w:rPr>
          <w:rFonts w:hint="eastAsia" w:eastAsia="仿宋" w:cs="仿宋"/>
          <w:sz w:val="32"/>
          <w:szCs w:val="32"/>
          <w:highlight w:val="none"/>
        </w:rPr>
        <w:t>年</w:t>
      </w:r>
      <w:r>
        <w:rPr>
          <w:rFonts w:hint="eastAsia" w:eastAsia="仿宋" w:cs="仿宋"/>
          <w:sz w:val="32"/>
          <w:szCs w:val="32"/>
          <w:highlight w:val="none"/>
          <w:lang w:val="en-US" w:eastAsia="zh-CN"/>
        </w:rPr>
        <w:t>10</w:t>
      </w:r>
      <w:r>
        <w:rPr>
          <w:rFonts w:hint="eastAsia" w:eastAsia="仿宋" w:cs="仿宋"/>
          <w:sz w:val="32"/>
          <w:szCs w:val="32"/>
          <w:highlight w:val="none"/>
        </w:rPr>
        <w:t>月</w:t>
      </w:r>
      <w:r>
        <w:rPr>
          <w:rFonts w:hint="eastAsia" w:eastAsia="仿宋" w:cs="仿宋"/>
          <w:sz w:val="32"/>
          <w:szCs w:val="32"/>
          <w:highlight w:val="none"/>
          <w:lang w:val="en-US" w:eastAsia="zh-CN"/>
        </w:rPr>
        <w:t>31</w:t>
      </w:r>
      <w:r>
        <w:rPr>
          <w:rFonts w:hint="eastAsia" w:eastAsia="仿宋" w:cs="仿宋"/>
          <w:sz w:val="32"/>
          <w:szCs w:val="32"/>
          <w:highlight w:val="none"/>
        </w:rPr>
        <w:t>日</w:t>
      </w:r>
    </w:p>
    <w:p>
      <w:pPr>
        <w:spacing w:line="600" w:lineRule="exact"/>
        <w:ind w:left="200"/>
        <w:jc w:val="center"/>
        <w:rPr>
          <w:color w:val="000000"/>
          <w:sz w:val="21"/>
          <w:highlight w:val="none"/>
          <w:lang w:val="zh-CN"/>
        </w:rPr>
      </w:pPr>
    </w:p>
    <w:p>
      <w:pPr>
        <w:widowControl w:val="0"/>
        <w:spacing w:line="600" w:lineRule="exact"/>
        <w:jc w:val="center"/>
        <w:rPr>
          <w:rFonts w:eastAsia="方正小标宋简体" w:cs="方正小标宋简体"/>
          <w:bCs/>
          <w:sz w:val="44"/>
          <w:szCs w:val="44"/>
          <w:highlight w:val="none"/>
        </w:rPr>
      </w:pPr>
    </w:p>
    <w:p>
      <w:pPr>
        <w:widowControl w:val="0"/>
        <w:spacing w:line="600" w:lineRule="exact"/>
        <w:jc w:val="center"/>
        <w:rPr>
          <w:rFonts w:eastAsia="方正小标宋简体" w:cs="方正小标宋简体"/>
          <w:bCs/>
          <w:sz w:val="44"/>
          <w:szCs w:val="44"/>
          <w:highlight w:val="none"/>
        </w:rPr>
      </w:pPr>
    </w:p>
    <w:p>
      <w:pPr>
        <w:widowControl w:val="0"/>
        <w:spacing w:line="600" w:lineRule="exact"/>
        <w:jc w:val="center"/>
        <w:rPr>
          <w:rFonts w:eastAsia="方正小标宋简体" w:cs="方正小标宋简体"/>
          <w:bCs/>
          <w:sz w:val="44"/>
          <w:szCs w:val="44"/>
          <w:highlight w:val="none"/>
        </w:rPr>
      </w:pPr>
    </w:p>
    <w:p>
      <w:pPr>
        <w:widowControl w:val="0"/>
        <w:spacing w:line="600" w:lineRule="exact"/>
        <w:jc w:val="center"/>
        <w:rPr>
          <w:b/>
          <w:sz w:val="44"/>
          <w:szCs w:val="44"/>
          <w:highlight w:val="none"/>
        </w:rPr>
      </w:pPr>
    </w:p>
    <w:p>
      <w:pPr>
        <w:widowControl w:val="0"/>
        <w:spacing w:line="600" w:lineRule="exact"/>
        <w:jc w:val="center"/>
        <w:rPr>
          <w:b/>
          <w:sz w:val="44"/>
          <w:szCs w:val="44"/>
          <w:highlight w:val="none"/>
        </w:rPr>
      </w:pPr>
      <w:r>
        <w:rPr>
          <w:rFonts w:hint="eastAsia"/>
          <w:b/>
          <w:sz w:val="44"/>
          <w:szCs w:val="44"/>
          <w:highlight w:val="none"/>
        </w:rPr>
        <w:t>关于202</w:t>
      </w:r>
      <w:r>
        <w:rPr>
          <w:rFonts w:hint="eastAsia"/>
          <w:b/>
          <w:sz w:val="44"/>
          <w:szCs w:val="44"/>
          <w:highlight w:val="none"/>
          <w:lang w:val="en-US" w:eastAsia="zh-CN"/>
        </w:rPr>
        <w:t>5</w:t>
      </w:r>
      <w:r>
        <w:rPr>
          <w:rFonts w:hint="eastAsia"/>
          <w:b/>
          <w:sz w:val="44"/>
          <w:szCs w:val="44"/>
          <w:highlight w:val="none"/>
        </w:rPr>
        <w:t>年县财政预算调整方案（草案）的</w:t>
      </w:r>
    </w:p>
    <w:p>
      <w:pPr>
        <w:widowControl w:val="0"/>
        <w:spacing w:line="600" w:lineRule="exact"/>
        <w:jc w:val="center"/>
        <w:rPr>
          <w:b/>
          <w:sz w:val="44"/>
          <w:szCs w:val="44"/>
          <w:highlight w:val="none"/>
        </w:rPr>
      </w:pPr>
      <w:r>
        <w:rPr>
          <w:rFonts w:hint="eastAsia"/>
          <w:b/>
          <w:sz w:val="44"/>
          <w:szCs w:val="44"/>
          <w:highlight w:val="none"/>
        </w:rPr>
        <w:t>说   明</w:t>
      </w:r>
    </w:p>
    <w:p>
      <w:pPr>
        <w:spacing w:line="600" w:lineRule="exact"/>
        <w:ind w:left="200"/>
        <w:jc w:val="center"/>
        <w:rPr>
          <w:rFonts w:eastAsia="楷体" w:cs="楷体"/>
          <w:color w:val="000000"/>
          <w:sz w:val="28"/>
          <w:szCs w:val="28"/>
          <w:highlight w:val="none"/>
          <w:lang w:val="zh-CN"/>
        </w:rPr>
      </w:pPr>
      <w:r>
        <w:rPr>
          <w:rFonts w:hint="eastAsia" w:eastAsia="楷体" w:cs="楷体"/>
          <w:color w:val="000000"/>
          <w:sz w:val="28"/>
          <w:szCs w:val="28"/>
          <w:highlight w:val="none"/>
        </w:rPr>
        <w:t>—— 在</w:t>
      </w:r>
      <w:r>
        <w:rPr>
          <w:rFonts w:hint="eastAsia" w:eastAsia="楷体" w:cs="楷体"/>
          <w:color w:val="000000"/>
          <w:sz w:val="28"/>
          <w:szCs w:val="28"/>
          <w:highlight w:val="none"/>
          <w:lang w:val="zh-CN"/>
        </w:rPr>
        <w:t>元氏县第</w:t>
      </w:r>
      <w:r>
        <w:rPr>
          <w:rFonts w:hint="eastAsia" w:eastAsia="楷体" w:cs="楷体"/>
          <w:color w:val="000000"/>
          <w:sz w:val="28"/>
          <w:szCs w:val="28"/>
          <w:highlight w:val="none"/>
          <w:lang w:val="en-US" w:eastAsia="zh-CN"/>
        </w:rPr>
        <w:t>十七</w:t>
      </w:r>
      <w:r>
        <w:rPr>
          <w:rFonts w:hint="eastAsia" w:eastAsia="楷体" w:cs="楷体"/>
          <w:color w:val="000000"/>
          <w:sz w:val="28"/>
          <w:szCs w:val="28"/>
          <w:highlight w:val="none"/>
          <w:lang w:val="zh-CN"/>
        </w:rPr>
        <w:t>届人大常委会第</w:t>
      </w:r>
      <w:r>
        <w:rPr>
          <w:rFonts w:hint="eastAsia" w:eastAsia="楷体" w:cs="楷体"/>
          <w:color w:val="000000"/>
          <w:sz w:val="28"/>
          <w:szCs w:val="28"/>
          <w:highlight w:val="none"/>
          <w:lang w:val="en-US" w:eastAsia="zh-CN"/>
        </w:rPr>
        <w:t>四十二</w:t>
      </w:r>
      <w:r>
        <w:rPr>
          <w:rFonts w:hint="eastAsia" w:eastAsia="楷体" w:cs="楷体"/>
          <w:color w:val="000000"/>
          <w:sz w:val="28"/>
          <w:szCs w:val="28"/>
          <w:highlight w:val="none"/>
          <w:lang w:val="zh-CN"/>
        </w:rPr>
        <w:t>次会议上</w:t>
      </w:r>
    </w:p>
    <w:p>
      <w:pPr>
        <w:spacing w:line="600" w:lineRule="exact"/>
        <w:ind w:left="200"/>
        <w:jc w:val="center"/>
        <w:rPr>
          <w:rFonts w:eastAsia="楷体" w:cs="楷体"/>
          <w:color w:val="000000"/>
          <w:sz w:val="32"/>
          <w:szCs w:val="32"/>
          <w:highlight w:val="none"/>
          <w:lang w:val="zh-CN"/>
        </w:rPr>
      </w:pPr>
      <w:r>
        <w:rPr>
          <w:rFonts w:hint="eastAsia" w:eastAsia="楷体" w:cs="楷体"/>
          <w:color w:val="000000"/>
          <w:sz w:val="32"/>
          <w:szCs w:val="32"/>
          <w:highlight w:val="none"/>
          <w:lang w:val="zh-CN"/>
        </w:rPr>
        <w:t>元氏县财政局局长  贾玉彬</w:t>
      </w:r>
    </w:p>
    <w:p>
      <w:pPr>
        <w:widowControl w:val="0"/>
        <w:spacing w:line="600" w:lineRule="exact"/>
        <w:jc w:val="center"/>
        <w:rPr>
          <w:rFonts w:eastAsia="方正小标宋简体" w:cs="方正小标宋简体"/>
          <w:bCs/>
          <w:sz w:val="44"/>
          <w:szCs w:val="44"/>
          <w:highlight w:val="none"/>
        </w:rPr>
      </w:pPr>
    </w:p>
    <w:p>
      <w:pPr>
        <w:widowControl w:val="0"/>
        <w:spacing w:line="600" w:lineRule="exact"/>
        <w:jc w:val="both"/>
        <w:rPr>
          <w:rFonts w:eastAsia="仿宋" w:cs="仿宋"/>
          <w:bCs/>
          <w:sz w:val="32"/>
          <w:szCs w:val="32"/>
          <w:highlight w:val="none"/>
        </w:rPr>
      </w:pPr>
      <w:r>
        <w:rPr>
          <w:rFonts w:hint="eastAsia" w:eastAsia="仿宋" w:cs="仿宋"/>
          <w:color w:val="000000"/>
          <w:sz w:val="32"/>
          <w:szCs w:val="32"/>
          <w:highlight w:val="none"/>
          <w:lang w:val="zh-CN"/>
        </w:rPr>
        <w:t>主任、各位副主任、各位委员：</w:t>
      </w:r>
    </w:p>
    <w:p>
      <w:pPr>
        <w:widowControl w:val="0"/>
        <w:snapToGrid w:val="0"/>
        <w:spacing w:line="600" w:lineRule="exact"/>
        <w:ind w:firstLine="640" w:firstLineChars="200"/>
        <w:jc w:val="both"/>
        <w:rPr>
          <w:rFonts w:eastAsia="仿宋" w:cs="仿宋"/>
          <w:color w:val="000000"/>
          <w:sz w:val="32"/>
          <w:szCs w:val="32"/>
          <w:highlight w:val="none"/>
        </w:rPr>
      </w:pPr>
      <w:r>
        <w:rPr>
          <w:rFonts w:hint="eastAsia" w:eastAsia="仿宋" w:cs="仿宋"/>
          <w:color w:val="000000"/>
          <w:sz w:val="32"/>
          <w:szCs w:val="32"/>
          <w:highlight w:val="none"/>
        </w:rPr>
        <w:t>按照《预算法》和财政工作实际，需对</w:t>
      </w:r>
      <w:r>
        <w:rPr>
          <w:rFonts w:hint="eastAsia" w:eastAsia="仿宋" w:cs="仿宋"/>
          <w:sz w:val="32"/>
          <w:szCs w:val="32"/>
          <w:highlight w:val="none"/>
        </w:rPr>
        <w:t>202</w:t>
      </w:r>
      <w:r>
        <w:rPr>
          <w:rFonts w:hint="eastAsia" w:eastAsia="仿宋" w:cs="仿宋"/>
          <w:sz w:val="32"/>
          <w:szCs w:val="32"/>
          <w:highlight w:val="none"/>
          <w:lang w:val="en-US" w:eastAsia="zh-CN"/>
        </w:rPr>
        <w:t>5</w:t>
      </w:r>
      <w:r>
        <w:rPr>
          <w:rFonts w:hint="eastAsia" w:eastAsia="仿宋" w:cs="仿宋"/>
          <w:sz w:val="32"/>
          <w:szCs w:val="32"/>
          <w:highlight w:val="none"/>
        </w:rPr>
        <w:t>年县一般公共预算、政府性基金预算、</w:t>
      </w:r>
      <w:r>
        <w:rPr>
          <w:rFonts w:hint="eastAsia" w:eastAsia="仿宋" w:cs="仿宋"/>
          <w:sz w:val="32"/>
          <w:szCs w:val="32"/>
          <w:highlight w:val="none"/>
          <w:lang w:eastAsia="zh-CN"/>
        </w:rPr>
        <w:t>社会保险基金预算、</w:t>
      </w:r>
      <w:r>
        <w:rPr>
          <w:rFonts w:hint="eastAsia" w:eastAsia="仿宋" w:cs="仿宋"/>
          <w:bCs/>
          <w:color w:val="000000"/>
          <w:sz w:val="32"/>
          <w:szCs w:val="32"/>
          <w:highlight w:val="none"/>
        </w:rPr>
        <w:t>收回可用财政存量资金、</w:t>
      </w:r>
      <w:r>
        <w:rPr>
          <w:rFonts w:hint="eastAsia" w:eastAsia="仿宋" w:cs="仿宋"/>
          <w:sz w:val="32"/>
          <w:szCs w:val="32"/>
          <w:highlight w:val="none"/>
        </w:rPr>
        <w:t>政府性债务限额</w:t>
      </w:r>
      <w:r>
        <w:rPr>
          <w:rFonts w:hint="eastAsia" w:eastAsia="仿宋" w:cs="仿宋"/>
          <w:color w:val="000000"/>
          <w:sz w:val="32"/>
          <w:szCs w:val="32"/>
          <w:highlight w:val="none"/>
        </w:rPr>
        <w:t>进行调整，可安排支出的资金达到</w:t>
      </w:r>
      <w:bookmarkStart w:id="10" w:name="_GoBack"/>
      <w:r>
        <w:rPr>
          <w:rFonts w:hint="eastAsia" w:eastAsia="仿宋" w:cs="仿宋"/>
          <w:color w:val="000000"/>
          <w:sz w:val="32"/>
          <w:szCs w:val="32"/>
          <w:highlight w:val="none"/>
          <w:lang w:val="en-US" w:eastAsia="zh-CN"/>
        </w:rPr>
        <w:t>187534</w:t>
      </w:r>
      <w:bookmarkEnd w:id="10"/>
      <w:r>
        <w:rPr>
          <w:rFonts w:hint="eastAsia" w:eastAsia="仿宋" w:cs="仿宋"/>
          <w:color w:val="000000"/>
          <w:sz w:val="32"/>
          <w:szCs w:val="32"/>
          <w:highlight w:val="none"/>
        </w:rPr>
        <w:t>万元，并报请县人大常委会审查批准。受县政府委托，现就202</w:t>
      </w:r>
      <w:r>
        <w:rPr>
          <w:rFonts w:hint="eastAsia" w:eastAsia="仿宋" w:cs="仿宋"/>
          <w:color w:val="000000"/>
          <w:sz w:val="32"/>
          <w:szCs w:val="32"/>
          <w:highlight w:val="none"/>
          <w:lang w:val="en-US" w:eastAsia="zh-CN"/>
        </w:rPr>
        <w:t>5</w:t>
      </w:r>
      <w:r>
        <w:rPr>
          <w:rFonts w:hint="eastAsia" w:eastAsia="仿宋" w:cs="仿宋"/>
          <w:color w:val="000000"/>
          <w:sz w:val="32"/>
          <w:szCs w:val="32"/>
          <w:highlight w:val="none"/>
        </w:rPr>
        <w:t>年县财政预算调整方案（草案）说明如下：</w:t>
      </w:r>
    </w:p>
    <w:p>
      <w:pPr>
        <w:widowControl w:val="0"/>
        <w:wordWrap/>
        <w:adjustRightInd/>
        <w:snapToGrid w:val="0"/>
        <w:spacing w:before="0" w:after="0" w:line="600" w:lineRule="exact"/>
        <w:ind w:left="0" w:right="0" w:firstLine="640" w:firstLineChars="200"/>
        <w:jc w:val="both"/>
        <w:textAlignment w:val="auto"/>
        <w:rPr>
          <w:rFonts w:hint="eastAsia" w:ascii="黑体" w:hAnsi="黑体" w:eastAsia="黑体" w:cs="黑体"/>
          <w:b/>
          <w:color w:val="auto"/>
          <w:sz w:val="32"/>
          <w:szCs w:val="32"/>
          <w:highlight w:val="none"/>
        </w:rPr>
      </w:pPr>
      <w:r>
        <w:rPr>
          <w:rFonts w:hint="eastAsia" w:ascii="黑体" w:hAnsi="黑体" w:eastAsia="黑体" w:cs="黑体"/>
          <w:color w:val="auto"/>
          <w:sz w:val="32"/>
          <w:szCs w:val="32"/>
          <w:highlight w:val="none"/>
        </w:rPr>
        <w:t>一、</w:t>
      </w:r>
      <w:r>
        <w:rPr>
          <w:rFonts w:hint="eastAsia" w:ascii="黑体" w:hAnsi="黑体" w:eastAsia="黑体" w:cs="黑体"/>
          <w:bCs/>
          <w:color w:val="auto"/>
          <w:sz w:val="32"/>
          <w:szCs w:val="32"/>
          <w:highlight w:val="none"/>
        </w:rPr>
        <w:t>一般公共预算调整情况</w:t>
      </w:r>
    </w:p>
    <w:p>
      <w:pPr>
        <w:widowControl w:val="0"/>
        <w:wordWrap/>
        <w:adjustRightInd/>
        <w:snapToGrid w:val="0"/>
        <w:spacing w:before="0" w:after="0" w:line="60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Cs/>
          <w:color w:val="auto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Cs/>
          <w:color w:val="auto"/>
          <w:sz w:val="32"/>
          <w:szCs w:val="32"/>
          <w:highlight w:val="none"/>
          <w:lang w:eastAsia="zh-CN"/>
        </w:rPr>
        <w:t>202</w:t>
      </w:r>
      <w:r>
        <w:rPr>
          <w:rFonts w:hint="eastAsia" w:ascii="仿宋_GB2312" w:hAnsi="仿宋_GB2312" w:eastAsia="仿宋_GB2312" w:cs="仿宋_GB2312"/>
          <w:bCs/>
          <w:color w:val="auto"/>
          <w:sz w:val="32"/>
          <w:szCs w:val="32"/>
          <w:highlight w:val="none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bCs/>
          <w:color w:val="auto"/>
          <w:sz w:val="32"/>
          <w:szCs w:val="32"/>
          <w:highlight w:val="none"/>
          <w:lang w:eastAsia="zh-CN"/>
        </w:rPr>
        <w:t>年</w:t>
      </w:r>
      <w:r>
        <w:rPr>
          <w:rFonts w:hint="eastAsia" w:ascii="仿宋_GB2312" w:hAnsi="仿宋_GB2312" w:eastAsia="仿宋_GB2312" w:cs="仿宋_GB2312"/>
          <w:bCs/>
          <w:color w:val="auto"/>
          <w:sz w:val="32"/>
          <w:szCs w:val="32"/>
          <w:highlight w:val="none"/>
        </w:rPr>
        <w:t>一般公共预算收入总计由</w:t>
      </w:r>
      <w:r>
        <w:rPr>
          <w:rFonts w:hint="eastAsia" w:ascii="仿宋_GB2312" w:hAnsi="仿宋_GB2312" w:eastAsia="仿宋_GB2312" w:cs="仿宋_GB2312"/>
          <w:bCs/>
          <w:color w:val="auto"/>
          <w:sz w:val="32"/>
          <w:szCs w:val="32"/>
          <w:highlight w:val="none"/>
          <w:lang w:val="en-US" w:eastAsia="zh-CN"/>
        </w:rPr>
        <w:t>364413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万元调整为3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81273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万元，</w:t>
      </w:r>
      <w:r>
        <w:rPr>
          <w:rFonts w:hint="eastAsia" w:ascii="仿宋_GB2312" w:hAnsi="仿宋_GB2312" w:eastAsia="仿宋_GB2312" w:cs="仿宋_GB2312"/>
          <w:bCs/>
          <w:color w:val="auto"/>
          <w:sz w:val="32"/>
          <w:szCs w:val="32"/>
          <w:highlight w:val="none"/>
        </w:rPr>
        <w:t>新增可用财力</w:t>
      </w:r>
      <w:r>
        <w:rPr>
          <w:rFonts w:hint="eastAsia" w:ascii="仿宋_GB2312" w:hAnsi="仿宋_GB2312" w:eastAsia="仿宋_GB2312" w:cs="仿宋_GB2312"/>
          <w:bCs/>
          <w:color w:val="auto"/>
          <w:sz w:val="32"/>
          <w:szCs w:val="32"/>
          <w:highlight w:val="none"/>
          <w:lang w:val="en-US" w:eastAsia="zh-CN"/>
        </w:rPr>
        <w:t>16829万元，主要是：财力性转移支付资金5410万元、动用预算稳定调节基金10090万元、政府一般债券资金11700万元、上解巨灾保险保费资金31万元、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年初预算减收10340万元</w:t>
      </w:r>
      <w:r>
        <w:rPr>
          <w:rFonts w:hint="eastAsia" w:ascii="仿宋_GB2312" w:hAnsi="仿宋_GB2312" w:eastAsia="仿宋_GB2312" w:cs="仿宋_GB2312"/>
          <w:bCs/>
          <w:color w:val="auto"/>
          <w:sz w:val="32"/>
          <w:szCs w:val="32"/>
          <w:highlight w:val="none"/>
        </w:rPr>
        <w:t>。</w:t>
      </w:r>
    </w:p>
    <w:p>
      <w:pPr>
        <w:widowControl w:val="0"/>
        <w:wordWrap/>
        <w:adjustRightInd/>
        <w:spacing w:before="0" w:after="0" w:line="600" w:lineRule="exact"/>
        <w:ind w:left="0" w:right="0"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根据新增财力情况，一般公共预算支出由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359716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万元调整为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375145万元，加上上解支出1301万元，债务还本支出4827万元，支出总计381273万元。新增财力15429万元，加上一般公共预算年初预算项目调整资金38641万元，可安排支出的资金共54070万元，相应安排支出54070万元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。</w:t>
      </w:r>
    </w:p>
    <w:p>
      <w:pPr>
        <w:widowControl w:val="0"/>
        <w:wordWrap/>
        <w:adjustRightInd/>
        <w:snapToGrid w:val="0"/>
        <w:spacing w:before="0" w:after="0" w:line="600" w:lineRule="exact"/>
        <w:ind w:left="0" w:right="0" w:firstLine="640" w:firstLineChars="200"/>
        <w:jc w:val="both"/>
        <w:textAlignment w:val="auto"/>
        <w:rPr>
          <w:rFonts w:eastAsia="黑体" w:cs="楷体"/>
          <w:b/>
          <w:color w:val="auto"/>
          <w:sz w:val="32"/>
          <w:szCs w:val="32"/>
          <w:highlight w:val="none"/>
        </w:rPr>
      </w:pPr>
      <w:r>
        <w:rPr>
          <w:rFonts w:hint="eastAsia" w:eastAsia="黑体" w:cs="黑体"/>
          <w:bCs/>
          <w:color w:val="auto"/>
          <w:sz w:val="32"/>
          <w:szCs w:val="32"/>
          <w:highlight w:val="none"/>
        </w:rPr>
        <w:t>二、存量资金</w:t>
      </w:r>
      <w:r>
        <w:rPr>
          <w:rFonts w:hint="eastAsia" w:eastAsia="黑体" w:cs="黑体"/>
          <w:color w:val="auto"/>
          <w:sz w:val="32"/>
          <w:szCs w:val="32"/>
          <w:highlight w:val="none"/>
        </w:rPr>
        <w:t>调整</w:t>
      </w:r>
      <w:r>
        <w:rPr>
          <w:rFonts w:hint="eastAsia" w:eastAsia="黑体" w:cs="黑体"/>
          <w:bCs/>
          <w:color w:val="auto"/>
          <w:sz w:val="32"/>
          <w:szCs w:val="32"/>
          <w:highlight w:val="none"/>
        </w:rPr>
        <w:t>情况</w:t>
      </w:r>
    </w:p>
    <w:p>
      <w:pPr>
        <w:widowControl w:val="0"/>
        <w:wordWrap/>
        <w:adjustRightInd/>
        <w:snapToGrid w:val="0"/>
        <w:spacing w:before="0" w:after="0" w:line="60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Cs/>
          <w:color w:val="auto"/>
          <w:sz w:val="32"/>
          <w:szCs w:val="32"/>
          <w:highlight w:val="none"/>
        </w:rPr>
        <w:t>根据上级政策收回可用财政存量资金</w:t>
      </w:r>
      <w:r>
        <w:rPr>
          <w:rFonts w:hint="eastAsia" w:ascii="仿宋_GB2312" w:hAnsi="仿宋_GB2312" w:eastAsia="仿宋_GB2312" w:cs="仿宋_GB2312"/>
          <w:bCs/>
          <w:color w:val="auto"/>
          <w:sz w:val="32"/>
          <w:szCs w:val="32"/>
          <w:highlight w:val="none"/>
          <w:lang w:val="en-US" w:eastAsia="zh-CN"/>
        </w:rPr>
        <w:t>614</w:t>
      </w:r>
      <w:r>
        <w:rPr>
          <w:rFonts w:hint="eastAsia" w:ascii="仿宋_GB2312" w:hAnsi="仿宋_GB2312" w:eastAsia="仿宋_GB2312" w:cs="仿宋_GB2312"/>
          <w:bCs/>
          <w:color w:val="auto"/>
          <w:sz w:val="32"/>
          <w:szCs w:val="32"/>
          <w:highlight w:val="none"/>
        </w:rPr>
        <w:t>万元，</w:t>
      </w:r>
      <w:r>
        <w:rPr>
          <w:rFonts w:hint="eastAsia" w:ascii="仿宋_GB2312" w:hAnsi="仿宋_GB2312" w:eastAsia="仿宋_GB2312" w:cs="仿宋_GB2312"/>
          <w:bCs/>
          <w:color w:val="auto"/>
          <w:sz w:val="32"/>
          <w:szCs w:val="32"/>
          <w:highlight w:val="none"/>
          <w:lang w:val="en-US" w:eastAsia="zh-CN"/>
        </w:rPr>
        <w:t>可</w:t>
      </w:r>
      <w:r>
        <w:rPr>
          <w:rFonts w:hint="eastAsia" w:ascii="仿宋_GB2312" w:hAnsi="仿宋_GB2312" w:eastAsia="仿宋_GB2312" w:cs="仿宋_GB2312"/>
          <w:bCs/>
          <w:color w:val="auto"/>
          <w:sz w:val="32"/>
          <w:szCs w:val="32"/>
          <w:highlight w:val="none"/>
        </w:rPr>
        <w:t>安排支出的资金共</w:t>
      </w:r>
      <w:r>
        <w:rPr>
          <w:rFonts w:hint="eastAsia" w:ascii="仿宋_GB2312" w:hAnsi="仿宋_GB2312" w:eastAsia="仿宋_GB2312" w:cs="仿宋_GB2312"/>
          <w:bCs/>
          <w:color w:val="auto"/>
          <w:sz w:val="32"/>
          <w:szCs w:val="32"/>
          <w:highlight w:val="none"/>
          <w:lang w:val="en-US" w:eastAsia="zh-CN"/>
        </w:rPr>
        <w:t>614</w:t>
      </w:r>
      <w:r>
        <w:rPr>
          <w:rFonts w:hint="eastAsia" w:ascii="仿宋_GB2312" w:hAnsi="仿宋_GB2312" w:eastAsia="仿宋_GB2312" w:cs="仿宋_GB2312"/>
          <w:bCs/>
          <w:color w:val="auto"/>
          <w:sz w:val="32"/>
          <w:szCs w:val="32"/>
          <w:highlight w:val="none"/>
        </w:rPr>
        <w:t>万元，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相应安排支出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614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万元。</w:t>
      </w:r>
    </w:p>
    <w:p>
      <w:pPr>
        <w:widowControl w:val="0"/>
        <w:wordWrap/>
        <w:adjustRightInd/>
        <w:snapToGrid w:val="0"/>
        <w:spacing w:before="0" w:after="0" w:line="600" w:lineRule="exact"/>
        <w:ind w:left="0" w:right="0" w:firstLine="640" w:firstLineChars="200"/>
        <w:jc w:val="both"/>
        <w:textAlignment w:val="auto"/>
        <w:rPr>
          <w:rFonts w:eastAsia="黑体" w:cs="楷体"/>
          <w:b/>
          <w:color w:val="auto"/>
          <w:sz w:val="32"/>
          <w:szCs w:val="32"/>
          <w:highlight w:val="none"/>
        </w:rPr>
      </w:pPr>
      <w:r>
        <w:rPr>
          <w:rFonts w:hint="eastAsia" w:eastAsia="黑体" w:cs="黑体"/>
          <w:bCs/>
          <w:color w:val="auto"/>
          <w:sz w:val="32"/>
          <w:szCs w:val="32"/>
          <w:highlight w:val="none"/>
        </w:rPr>
        <w:t>三、政府性基金预算调整情况</w:t>
      </w:r>
    </w:p>
    <w:p>
      <w:pPr>
        <w:widowControl w:val="0"/>
        <w:wordWrap/>
        <w:adjustRightInd/>
        <w:snapToGrid w:val="0"/>
        <w:spacing w:before="0" w:after="0" w:line="60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Cs/>
          <w:color w:val="auto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Cs/>
          <w:color w:val="auto"/>
          <w:sz w:val="32"/>
          <w:szCs w:val="32"/>
          <w:highlight w:val="none"/>
          <w:lang w:eastAsia="zh-CN"/>
        </w:rPr>
        <w:t>202</w:t>
      </w:r>
      <w:r>
        <w:rPr>
          <w:rFonts w:hint="eastAsia" w:ascii="仿宋_GB2312" w:hAnsi="仿宋_GB2312" w:eastAsia="仿宋_GB2312" w:cs="仿宋_GB2312"/>
          <w:bCs/>
          <w:color w:val="auto"/>
          <w:sz w:val="32"/>
          <w:szCs w:val="32"/>
          <w:highlight w:val="none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bCs/>
          <w:color w:val="auto"/>
          <w:sz w:val="32"/>
          <w:szCs w:val="32"/>
          <w:highlight w:val="none"/>
          <w:lang w:eastAsia="zh-CN"/>
        </w:rPr>
        <w:t>年</w:t>
      </w:r>
      <w:r>
        <w:rPr>
          <w:rFonts w:hint="eastAsia" w:ascii="仿宋_GB2312" w:hAnsi="仿宋_GB2312" w:eastAsia="仿宋_GB2312" w:cs="仿宋_GB2312"/>
          <w:bCs/>
          <w:color w:val="auto"/>
          <w:sz w:val="32"/>
          <w:szCs w:val="32"/>
          <w:highlight w:val="none"/>
        </w:rPr>
        <w:t>政府性基金收入总计由</w:t>
      </w:r>
      <w:r>
        <w:rPr>
          <w:rFonts w:hint="eastAsia" w:ascii="仿宋_GB2312" w:hAnsi="仿宋_GB2312" w:eastAsia="仿宋_GB2312" w:cs="仿宋_GB2312"/>
          <w:bCs/>
          <w:color w:val="auto"/>
          <w:sz w:val="32"/>
          <w:szCs w:val="32"/>
          <w:highlight w:val="none"/>
          <w:lang w:val="en-US" w:eastAsia="zh-CN"/>
        </w:rPr>
        <w:t>196755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万元调整为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322505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万元，</w:t>
      </w:r>
      <w:r>
        <w:rPr>
          <w:rFonts w:hint="eastAsia" w:ascii="仿宋_GB2312" w:hAnsi="仿宋_GB2312" w:eastAsia="仿宋_GB2312" w:cs="仿宋_GB2312"/>
          <w:bCs/>
          <w:color w:val="auto"/>
          <w:sz w:val="32"/>
          <w:szCs w:val="32"/>
          <w:highlight w:val="none"/>
        </w:rPr>
        <w:t>新增可用财力</w:t>
      </w:r>
      <w:r>
        <w:rPr>
          <w:rFonts w:hint="eastAsia" w:ascii="仿宋_GB2312" w:hAnsi="仿宋_GB2312" w:eastAsia="仿宋_GB2312" w:cs="仿宋_GB2312"/>
          <w:bCs/>
          <w:color w:val="auto"/>
          <w:sz w:val="32"/>
          <w:szCs w:val="32"/>
          <w:highlight w:val="none"/>
          <w:lang w:val="en-US" w:eastAsia="zh-CN"/>
        </w:rPr>
        <w:t>125750</w:t>
      </w:r>
      <w:r>
        <w:rPr>
          <w:rFonts w:hint="eastAsia" w:ascii="仿宋_GB2312" w:hAnsi="仿宋_GB2312" w:eastAsia="仿宋_GB2312" w:cs="仿宋_GB2312"/>
          <w:bCs/>
          <w:color w:val="auto"/>
          <w:sz w:val="32"/>
          <w:szCs w:val="32"/>
          <w:highlight w:val="none"/>
        </w:rPr>
        <w:t>万元，主要是：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新增政府专项债券资金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157000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万元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新增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再融资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专项债券资金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1300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万元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年初预算减收32550万元。</w:t>
      </w:r>
    </w:p>
    <w:p>
      <w:pPr>
        <w:widowControl w:val="0"/>
        <w:wordWrap/>
        <w:adjustRightInd/>
        <w:snapToGrid w:val="0"/>
        <w:spacing w:before="0" w:after="0" w:line="60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Cs/>
          <w:color w:val="auto"/>
          <w:sz w:val="32"/>
          <w:szCs w:val="32"/>
          <w:highlight w:val="none"/>
          <w:lang w:val="zh-CN"/>
        </w:rPr>
      </w:pPr>
      <w:r>
        <w:rPr>
          <w:rFonts w:hint="eastAsia" w:ascii="仿宋_GB2312" w:hAnsi="仿宋_GB2312" w:eastAsia="仿宋_GB2312" w:cs="仿宋_GB2312"/>
          <w:bCs/>
          <w:color w:val="auto"/>
          <w:sz w:val="32"/>
          <w:szCs w:val="32"/>
          <w:highlight w:val="none"/>
          <w:lang w:val="zh-CN"/>
        </w:rPr>
        <w:t>根据新增财力情况，政府性基金支出由1</w:t>
      </w:r>
      <w:r>
        <w:rPr>
          <w:rFonts w:hint="eastAsia" w:ascii="仿宋_GB2312" w:hAnsi="仿宋_GB2312" w:eastAsia="仿宋_GB2312" w:cs="仿宋_GB2312"/>
          <w:bCs/>
          <w:color w:val="auto"/>
          <w:sz w:val="32"/>
          <w:szCs w:val="32"/>
          <w:highlight w:val="none"/>
          <w:lang w:val="en-US" w:eastAsia="zh-CN"/>
        </w:rPr>
        <w:t>49245</w:t>
      </w:r>
      <w:r>
        <w:rPr>
          <w:rFonts w:hint="eastAsia" w:ascii="仿宋_GB2312" w:hAnsi="仿宋_GB2312" w:eastAsia="仿宋_GB2312" w:cs="仿宋_GB2312"/>
          <w:bCs/>
          <w:color w:val="auto"/>
          <w:sz w:val="32"/>
          <w:szCs w:val="32"/>
          <w:highlight w:val="none"/>
          <w:lang w:val="zh-CN"/>
        </w:rPr>
        <w:t>万元调整为</w:t>
      </w:r>
      <w:r>
        <w:rPr>
          <w:rFonts w:hint="eastAsia" w:ascii="仿宋_GB2312" w:hAnsi="仿宋_GB2312" w:eastAsia="仿宋_GB2312" w:cs="仿宋_GB2312"/>
          <w:bCs/>
          <w:color w:val="auto"/>
          <w:sz w:val="32"/>
          <w:szCs w:val="32"/>
          <w:highlight w:val="none"/>
          <w:lang w:val="en-US" w:eastAsia="zh-CN"/>
        </w:rPr>
        <w:t>273695</w:t>
      </w:r>
      <w:r>
        <w:rPr>
          <w:rFonts w:hint="eastAsia" w:ascii="仿宋_GB2312" w:hAnsi="仿宋_GB2312" w:eastAsia="仿宋_GB2312" w:cs="仿宋_GB2312"/>
          <w:bCs/>
          <w:color w:val="auto"/>
          <w:sz w:val="32"/>
          <w:szCs w:val="32"/>
          <w:highlight w:val="none"/>
          <w:lang w:val="zh-CN"/>
        </w:rPr>
        <w:t>万元，加上</w:t>
      </w:r>
      <w:r>
        <w:rPr>
          <w:rFonts w:hint="eastAsia" w:ascii="仿宋_GB2312" w:hAnsi="仿宋_GB2312" w:eastAsia="仿宋_GB2312" w:cs="仿宋_GB2312"/>
          <w:bCs/>
          <w:color w:val="auto"/>
          <w:sz w:val="32"/>
          <w:szCs w:val="32"/>
          <w:highlight w:val="none"/>
          <w:lang w:val="en-US" w:eastAsia="zh-CN"/>
        </w:rPr>
        <w:t>年初专项</w:t>
      </w:r>
      <w:r>
        <w:rPr>
          <w:rFonts w:hint="eastAsia" w:ascii="仿宋_GB2312" w:hAnsi="仿宋_GB2312" w:eastAsia="仿宋_GB2312" w:cs="仿宋_GB2312"/>
          <w:bCs/>
          <w:color w:val="auto"/>
          <w:sz w:val="32"/>
          <w:szCs w:val="32"/>
          <w:highlight w:val="none"/>
          <w:lang w:val="zh-CN"/>
        </w:rPr>
        <w:t>债券还本支出</w:t>
      </w:r>
      <w:r>
        <w:rPr>
          <w:rFonts w:hint="eastAsia" w:ascii="仿宋_GB2312" w:hAnsi="仿宋_GB2312" w:eastAsia="仿宋_GB2312" w:cs="仿宋_GB2312"/>
          <w:bCs/>
          <w:color w:val="auto"/>
          <w:sz w:val="32"/>
          <w:szCs w:val="32"/>
          <w:highlight w:val="none"/>
          <w:lang w:val="en-US" w:eastAsia="zh-CN"/>
        </w:rPr>
        <w:t>47510</w:t>
      </w:r>
      <w:r>
        <w:rPr>
          <w:rFonts w:hint="eastAsia" w:ascii="仿宋_GB2312" w:hAnsi="仿宋_GB2312" w:eastAsia="仿宋_GB2312" w:cs="仿宋_GB2312"/>
          <w:bCs/>
          <w:color w:val="auto"/>
          <w:sz w:val="32"/>
          <w:szCs w:val="32"/>
          <w:highlight w:val="none"/>
          <w:lang w:val="zh-CN"/>
        </w:rPr>
        <w:t>万元</w:t>
      </w:r>
      <w:r>
        <w:rPr>
          <w:rFonts w:hint="eastAsia" w:ascii="仿宋_GB2312" w:hAnsi="仿宋_GB2312" w:eastAsia="仿宋_GB2312" w:cs="仿宋_GB2312"/>
          <w:bCs/>
          <w:color w:val="auto"/>
          <w:sz w:val="32"/>
          <w:szCs w:val="32"/>
          <w:highlight w:val="none"/>
          <w:lang w:val="en-US" w:eastAsia="zh-CN"/>
        </w:rPr>
        <w:t>及新增专项债券</w:t>
      </w:r>
      <w:r>
        <w:rPr>
          <w:rFonts w:hint="eastAsia" w:ascii="仿宋_GB2312" w:hAnsi="仿宋_GB2312" w:eastAsia="仿宋_GB2312" w:cs="仿宋_GB2312"/>
          <w:bCs/>
          <w:color w:val="auto"/>
          <w:sz w:val="32"/>
          <w:szCs w:val="32"/>
          <w:highlight w:val="none"/>
          <w:lang w:val="zh-CN"/>
        </w:rPr>
        <w:t>还本支出</w:t>
      </w:r>
      <w:r>
        <w:rPr>
          <w:rFonts w:hint="eastAsia" w:ascii="仿宋_GB2312" w:hAnsi="仿宋_GB2312" w:eastAsia="仿宋_GB2312" w:cs="仿宋_GB2312"/>
          <w:bCs/>
          <w:color w:val="auto"/>
          <w:sz w:val="32"/>
          <w:szCs w:val="32"/>
          <w:highlight w:val="none"/>
          <w:lang w:val="en-US" w:eastAsia="zh-CN"/>
        </w:rPr>
        <w:t>1300万元，</w:t>
      </w:r>
      <w:r>
        <w:rPr>
          <w:rFonts w:hint="eastAsia" w:ascii="仿宋_GB2312" w:hAnsi="仿宋_GB2312" w:eastAsia="仿宋_GB2312" w:cs="仿宋_GB2312"/>
          <w:bCs/>
          <w:color w:val="auto"/>
          <w:sz w:val="32"/>
          <w:szCs w:val="32"/>
          <w:highlight w:val="none"/>
          <w:lang w:val="zh-CN"/>
        </w:rPr>
        <w:t>支出总计</w:t>
      </w:r>
      <w:r>
        <w:rPr>
          <w:rFonts w:hint="eastAsia" w:ascii="仿宋_GB2312" w:hAnsi="仿宋_GB2312" w:eastAsia="仿宋_GB2312" w:cs="仿宋_GB2312"/>
          <w:bCs/>
          <w:color w:val="auto"/>
          <w:sz w:val="32"/>
          <w:szCs w:val="32"/>
          <w:highlight w:val="none"/>
          <w:lang w:val="en-US" w:eastAsia="zh-CN"/>
        </w:rPr>
        <w:t>322505</w:t>
      </w:r>
      <w:r>
        <w:rPr>
          <w:rFonts w:hint="eastAsia" w:ascii="仿宋_GB2312" w:hAnsi="仿宋_GB2312" w:eastAsia="仿宋_GB2312" w:cs="仿宋_GB2312"/>
          <w:bCs/>
          <w:color w:val="auto"/>
          <w:sz w:val="32"/>
          <w:szCs w:val="32"/>
          <w:highlight w:val="none"/>
          <w:lang w:val="zh-CN"/>
        </w:rPr>
        <w:t>万元。新增</w:t>
      </w:r>
      <w:r>
        <w:rPr>
          <w:rFonts w:hint="eastAsia" w:ascii="仿宋_GB2312" w:hAnsi="仿宋_GB2312" w:eastAsia="仿宋_GB2312" w:cs="仿宋_GB2312"/>
          <w:bCs/>
          <w:color w:val="auto"/>
          <w:sz w:val="32"/>
          <w:szCs w:val="32"/>
          <w:highlight w:val="none"/>
          <w:lang w:val="en-US" w:eastAsia="zh-CN"/>
        </w:rPr>
        <w:t>可用</w:t>
      </w:r>
      <w:r>
        <w:rPr>
          <w:rFonts w:hint="eastAsia" w:ascii="仿宋_GB2312" w:hAnsi="仿宋_GB2312" w:eastAsia="仿宋_GB2312" w:cs="仿宋_GB2312"/>
          <w:bCs/>
          <w:color w:val="auto"/>
          <w:sz w:val="32"/>
          <w:szCs w:val="32"/>
          <w:highlight w:val="none"/>
          <w:lang w:val="zh-CN"/>
        </w:rPr>
        <w:t>财力</w:t>
      </w:r>
      <w:r>
        <w:rPr>
          <w:rFonts w:hint="eastAsia" w:ascii="仿宋_GB2312" w:hAnsi="仿宋_GB2312" w:eastAsia="仿宋_GB2312" w:cs="仿宋_GB2312"/>
          <w:bCs/>
          <w:color w:val="auto"/>
          <w:sz w:val="32"/>
          <w:szCs w:val="32"/>
          <w:highlight w:val="none"/>
          <w:lang w:val="en-US" w:eastAsia="zh-CN"/>
        </w:rPr>
        <w:t>124450</w:t>
      </w:r>
      <w:r>
        <w:rPr>
          <w:rFonts w:hint="eastAsia" w:ascii="仿宋_GB2312" w:hAnsi="仿宋_GB2312" w:eastAsia="仿宋_GB2312" w:cs="仿宋_GB2312"/>
          <w:bCs/>
          <w:color w:val="auto"/>
          <w:sz w:val="32"/>
          <w:szCs w:val="32"/>
          <w:highlight w:val="none"/>
          <w:lang w:val="zh-CN"/>
        </w:rPr>
        <w:t>万元，加年初预算项目调整</w:t>
      </w:r>
      <w:r>
        <w:rPr>
          <w:rFonts w:hint="eastAsia" w:ascii="仿宋_GB2312" w:hAnsi="仿宋_GB2312" w:eastAsia="仿宋_GB2312" w:cs="仿宋_GB2312"/>
          <w:bCs/>
          <w:color w:val="auto"/>
          <w:sz w:val="32"/>
          <w:szCs w:val="32"/>
          <w:highlight w:val="none"/>
          <w:lang w:val="en-US" w:eastAsia="zh-CN"/>
        </w:rPr>
        <w:t>8400</w:t>
      </w:r>
      <w:r>
        <w:rPr>
          <w:rFonts w:hint="eastAsia" w:ascii="仿宋_GB2312" w:hAnsi="仿宋_GB2312" w:eastAsia="仿宋_GB2312" w:cs="仿宋_GB2312"/>
          <w:bCs/>
          <w:color w:val="auto"/>
          <w:sz w:val="32"/>
          <w:szCs w:val="32"/>
          <w:highlight w:val="none"/>
          <w:lang w:val="zh-CN"/>
        </w:rPr>
        <w:t>万元，可安排支出资金为</w:t>
      </w:r>
      <w:r>
        <w:rPr>
          <w:rFonts w:hint="eastAsia" w:ascii="仿宋_GB2312" w:hAnsi="仿宋_GB2312" w:eastAsia="仿宋_GB2312" w:cs="仿宋_GB2312"/>
          <w:bCs/>
          <w:color w:val="auto"/>
          <w:sz w:val="32"/>
          <w:szCs w:val="32"/>
          <w:highlight w:val="none"/>
          <w:lang w:val="en-US" w:eastAsia="zh-CN"/>
        </w:rPr>
        <w:t>132850</w:t>
      </w:r>
      <w:r>
        <w:rPr>
          <w:rFonts w:hint="eastAsia" w:ascii="仿宋_GB2312" w:hAnsi="仿宋_GB2312" w:eastAsia="仿宋_GB2312" w:cs="仿宋_GB2312"/>
          <w:bCs/>
          <w:color w:val="auto"/>
          <w:sz w:val="32"/>
          <w:szCs w:val="32"/>
          <w:highlight w:val="none"/>
          <w:lang w:val="zh-CN"/>
        </w:rPr>
        <w:t>万元，相应安排支出</w:t>
      </w:r>
      <w:r>
        <w:rPr>
          <w:rFonts w:hint="eastAsia" w:ascii="仿宋_GB2312" w:hAnsi="仿宋_GB2312" w:eastAsia="仿宋_GB2312" w:cs="仿宋_GB2312"/>
          <w:bCs/>
          <w:color w:val="auto"/>
          <w:sz w:val="32"/>
          <w:szCs w:val="32"/>
          <w:highlight w:val="none"/>
          <w:lang w:val="en-US" w:eastAsia="zh-CN"/>
        </w:rPr>
        <w:t>132850</w:t>
      </w:r>
      <w:r>
        <w:rPr>
          <w:rFonts w:hint="eastAsia" w:ascii="仿宋_GB2312" w:hAnsi="仿宋_GB2312" w:eastAsia="仿宋_GB2312" w:cs="仿宋_GB2312"/>
          <w:bCs/>
          <w:color w:val="auto"/>
          <w:sz w:val="32"/>
          <w:szCs w:val="32"/>
          <w:highlight w:val="none"/>
          <w:lang w:val="zh-CN"/>
        </w:rPr>
        <w:t>万元。</w:t>
      </w:r>
    </w:p>
    <w:p>
      <w:pPr>
        <w:widowControl w:val="0"/>
        <w:wordWrap/>
        <w:adjustRightInd/>
        <w:snapToGrid w:val="0"/>
        <w:spacing w:before="0" w:after="0" w:line="600" w:lineRule="exact"/>
        <w:ind w:left="0" w:right="0" w:firstLine="640" w:firstLineChars="200"/>
        <w:jc w:val="both"/>
        <w:textAlignment w:val="auto"/>
        <w:rPr>
          <w:rFonts w:hint="default" w:eastAsia="黑体" w:cs="黑体"/>
          <w:bCs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eastAsia="黑体" w:cs="黑体"/>
          <w:bCs/>
          <w:color w:val="auto"/>
          <w:sz w:val="32"/>
          <w:szCs w:val="32"/>
          <w:highlight w:val="none"/>
          <w:lang w:val="en-US" w:eastAsia="zh-CN"/>
        </w:rPr>
        <w:t>四、社会保险基金预算调整情况</w:t>
      </w:r>
    </w:p>
    <w:p>
      <w:pPr>
        <w:widowControl w:val="0"/>
        <w:wordWrap/>
        <w:adjustRightInd/>
        <w:snapToGrid w:val="0"/>
        <w:spacing w:before="0" w:after="0" w:line="60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Cs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color w:val="auto"/>
          <w:sz w:val="32"/>
          <w:szCs w:val="32"/>
          <w:highlight w:val="none"/>
          <w:lang w:val="en-US" w:eastAsia="zh-CN"/>
        </w:rPr>
        <w:t>2025年城乡居民养老保险收入总计由69422万元调整为69944万元，其中，本年收入由25025万元调整为25379万元，上年结余由44397万元调整为44565万元；2025年城乡居民养老保险支出总计由69422万元调整为69944万元，其中，本年支出由20826万元调整为22098万元，年末结余由48596万元调整为47846万元。2025年机关事业养老保险收入总计由24793万元调整为26366万元；2025年机关事业单位养老保险支出总计由24793万元调整为26366万元。</w:t>
      </w:r>
    </w:p>
    <w:p>
      <w:pPr>
        <w:widowControl w:val="0"/>
        <w:wordWrap/>
        <w:adjustRightInd/>
        <w:snapToGrid w:val="0"/>
        <w:spacing w:before="0" w:after="0" w:line="600" w:lineRule="exact"/>
        <w:ind w:left="0" w:right="0" w:firstLine="640" w:firstLineChars="200"/>
        <w:jc w:val="both"/>
        <w:textAlignment w:val="auto"/>
        <w:outlineLvl w:val="0"/>
        <w:rPr>
          <w:rFonts w:eastAsia="黑体" w:cs="黑体"/>
          <w:color w:val="auto"/>
          <w:sz w:val="32"/>
          <w:szCs w:val="32"/>
          <w:highlight w:val="none"/>
        </w:rPr>
      </w:pPr>
      <w:r>
        <w:rPr>
          <w:rFonts w:hint="eastAsia" w:eastAsia="黑体" w:cs="黑体"/>
          <w:color w:val="auto"/>
          <w:sz w:val="32"/>
          <w:szCs w:val="32"/>
          <w:highlight w:val="none"/>
          <w:lang w:val="en-US" w:eastAsia="zh-CN"/>
        </w:rPr>
        <w:t>五</w:t>
      </w:r>
      <w:r>
        <w:rPr>
          <w:rFonts w:hint="eastAsia" w:eastAsia="黑体" w:cs="黑体"/>
          <w:color w:val="auto"/>
          <w:sz w:val="32"/>
          <w:szCs w:val="32"/>
          <w:highlight w:val="none"/>
        </w:rPr>
        <w:t>、政府性债务限额情况</w:t>
      </w:r>
    </w:p>
    <w:p>
      <w:pPr>
        <w:widowControl w:val="0"/>
        <w:wordWrap/>
        <w:adjustRightInd/>
        <w:snapToGrid w:val="0"/>
        <w:spacing w:before="0" w:after="0" w:line="600" w:lineRule="exact"/>
        <w:ind w:left="0" w:right="0" w:firstLine="720" w:firstLineChars="225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>2025年，省财政厅下达我县新增地方政府限额164300万元，其中：一般债务限额10300万元，专项债务限额157000万元。另外，下达新增置换存量隐性专项债务限额1300万元。下达结存一般债务限额1400万元。</w:t>
      </w:r>
    </w:p>
    <w:p>
      <w:pPr>
        <w:widowControl w:val="0"/>
        <w:wordWrap/>
        <w:adjustRightInd/>
        <w:snapToGrid w:val="0"/>
        <w:spacing w:before="0" w:after="0" w:line="600" w:lineRule="exact"/>
        <w:ind w:left="0" w:right="0" w:firstLine="720" w:firstLineChars="225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>2025年，省财政厅收回我县政府债务限额6500万元，其中一般债务限额1600万元，专项债务限额4900万元。</w:t>
      </w:r>
    </w:p>
    <w:p>
      <w:pPr>
        <w:widowControl w:val="0"/>
        <w:wordWrap/>
        <w:adjustRightInd/>
        <w:snapToGrid w:val="0"/>
        <w:spacing w:before="0" w:after="0" w:line="600" w:lineRule="exact"/>
        <w:ind w:left="0" w:right="0" w:firstLine="720" w:firstLineChars="225"/>
        <w:jc w:val="both"/>
        <w:textAlignment w:val="auto"/>
        <w:rPr>
          <w:color w:val="auto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>2025年我县地方政府债务限额变为749255.47万元，其中：一般债务限额110168.47万元，专项债务限额639087万元。</w:t>
      </w:r>
    </w:p>
    <w:p>
      <w:pPr>
        <w:widowControl w:val="0"/>
        <w:wordWrap/>
        <w:adjustRightInd/>
        <w:snapToGrid w:val="0"/>
        <w:spacing w:before="0" w:after="0" w:line="600" w:lineRule="exact"/>
        <w:ind w:left="0" w:right="0" w:firstLine="960" w:firstLineChars="300"/>
        <w:jc w:val="both"/>
        <w:textAlignment w:val="auto"/>
        <w:outlineLvl w:val="0"/>
        <w:rPr>
          <w:rFonts w:hint="eastAsia" w:ascii="黑体" w:hAnsi="黑体" w:eastAsia="黑体" w:cs="黑体"/>
          <w:color w:val="auto"/>
          <w:sz w:val="32"/>
          <w:szCs w:val="32"/>
          <w:highlight w:val="none"/>
        </w:rPr>
      </w:pPr>
      <w:r>
        <w:rPr>
          <w:rFonts w:hint="eastAsia" w:ascii="黑体" w:hAnsi="黑体" w:eastAsia="黑体" w:cs="黑体"/>
          <w:color w:val="auto"/>
          <w:sz w:val="32"/>
          <w:szCs w:val="32"/>
          <w:highlight w:val="none"/>
          <w:lang w:val="en-US" w:eastAsia="zh-CN"/>
        </w:rPr>
        <w:t>六、2025年超长期特别国债资金情况</w:t>
      </w:r>
    </w:p>
    <w:p>
      <w:pPr>
        <w:widowControl w:val="0"/>
        <w:wordWrap/>
        <w:adjustRightInd/>
        <w:spacing w:before="0" w:after="0" w:line="600" w:lineRule="exact"/>
        <w:ind w:left="0" w:right="0" w:firstLine="640"/>
        <w:jc w:val="both"/>
        <w:textAlignment w:val="auto"/>
        <w:rPr>
          <w:rFonts w:hint="default"/>
          <w:highlight w:val="none"/>
          <w:lang w:val="en-US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eastAsia="zh-CN"/>
        </w:rPr>
        <w:t>2025年，省财政厅下达我县超长期特别国债资金共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/>
        </w:rPr>
        <w:t>10093.78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eastAsia="zh-CN"/>
        </w:rPr>
        <w:t>万元。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/>
        </w:rPr>
        <w:t>其中，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eastAsia="zh-CN"/>
        </w:rPr>
        <w:t>灾后重建和提升防灾减灾能力补助资金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/>
        </w:rPr>
        <w:t>8951万元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eastAsia="zh-CN"/>
        </w:rPr>
        <w:t>，用于元氏县潴龙河下游整治工程4964万元、元氏县槐河治理工程3987万元；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/>
        </w:rPr>
        <w:t>推动大规模设备更新和消费品以旧换新领域资金1142.78万元。</w:t>
      </w:r>
    </w:p>
    <w:p>
      <w:pPr>
        <w:widowControl w:val="0"/>
        <w:snapToGrid w:val="0"/>
        <w:spacing w:line="600" w:lineRule="exact"/>
        <w:ind w:firstLine="720" w:firstLineChars="225"/>
        <w:jc w:val="both"/>
        <w:rPr>
          <w:rFonts w:eastAsia="仿宋" w:cs="仿宋"/>
          <w:kern w:val="2"/>
          <w:sz w:val="32"/>
          <w:szCs w:val="32"/>
          <w:highlight w:val="none"/>
        </w:rPr>
      </w:pPr>
      <w:r>
        <w:rPr>
          <w:rFonts w:hint="eastAsia" w:eastAsia="仿宋" w:cs="仿宋"/>
          <w:kern w:val="2"/>
          <w:sz w:val="32"/>
          <w:szCs w:val="32"/>
          <w:highlight w:val="none"/>
        </w:rPr>
        <w:t>以上说明连同</w:t>
      </w:r>
      <w:r>
        <w:rPr>
          <w:rFonts w:hint="eastAsia" w:eastAsia="仿宋" w:cs="仿宋"/>
          <w:kern w:val="2"/>
          <w:sz w:val="32"/>
          <w:szCs w:val="32"/>
          <w:highlight w:val="none"/>
          <w:lang w:eastAsia="zh-CN"/>
        </w:rPr>
        <w:t>202</w:t>
      </w:r>
      <w:r>
        <w:rPr>
          <w:rFonts w:hint="eastAsia" w:eastAsia="仿宋" w:cs="仿宋"/>
          <w:kern w:val="2"/>
          <w:sz w:val="32"/>
          <w:szCs w:val="32"/>
          <w:highlight w:val="none"/>
          <w:lang w:val="en-US" w:eastAsia="zh-CN"/>
        </w:rPr>
        <w:t>5</w:t>
      </w:r>
      <w:r>
        <w:rPr>
          <w:rFonts w:hint="eastAsia" w:eastAsia="仿宋" w:cs="仿宋"/>
          <w:kern w:val="2"/>
          <w:sz w:val="32"/>
          <w:szCs w:val="32"/>
          <w:highlight w:val="none"/>
          <w:lang w:eastAsia="zh-CN"/>
        </w:rPr>
        <w:t>年</w:t>
      </w:r>
      <w:r>
        <w:rPr>
          <w:rFonts w:hint="eastAsia" w:eastAsia="仿宋" w:cs="仿宋"/>
          <w:kern w:val="2"/>
          <w:sz w:val="32"/>
          <w:szCs w:val="32"/>
          <w:highlight w:val="none"/>
        </w:rPr>
        <w:t>县财政预算调整方案（草案），请一 并予以审议。</w:t>
      </w:r>
    </w:p>
    <w:p>
      <w:pPr>
        <w:widowControl w:val="0"/>
        <w:wordWrap/>
        <w:adjustRightInd/>
        <w:spacing w:before="0" w:after="0" w:line="600" w:lineRule="exact"/>
        <w:ind w:left="0"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color w:val="auto"/>
          <w:sz w:val="44"/>
          <w:szCs w:val="44"/>
          <w:highlight w:val="none"/>
          <w:lang w:eastAsia="zh-CN"/>
        </w:rPr>
      </w:pPr>
    </w:p>
    <w:p>
      <w:pPr>
        <w:widowControl w:val="0"/>
        <w:wordWrap/>
        <w:adjustRightInd/>
        <w:spacing w:before="0" w:after="0" w:line="600" w:lineRule="exact"/>
        <w:ind w:left="0"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color w:val="auto"/>
          <w:sz w:val="44"/>
          <w:szCs w:val="44"/>
          <w:highlight w:val="none"/>
          <w:lang w:eastAsia="zh-CN"/>
        </w:rPr>
      </w:pPr>
    </w:p>
    <w:p>
      <w:pPr>
        <w:widowControl w:val="0"/>
        <w:wordWrap/>
        <w:adjustRightInd/>
        <w:spacing w:before="0" w:after="0" w:line="600" w:lineRule="exact"/>
        <w:ind w:left="0"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color w:val="auto"/>
          <w:sz w:val="44"/>
          <w:szCs w:val="44"/>
          <w:highlight w:val="none"/>
          <w:lang w:eastAsia="zh-CN"/>
        </w:rPr>
      </w:pPr>
    </w:p>
    <w:p>
      <w:pPr>
        <w:widowControl w:val="0"/>
        <w:wordWrap/>
        <w:adjustRightInd/>
        <w:spacing w:before="0" w:after="0" w:line="600" w:lineRule="exact"/>
        <w:ind w:left="0"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color w:val="auto"/>
          <w:sz w:val="44"/>
          <w:szCs w:val="44"/>
          <w:highlight w:val="none"/>
          <w:lang w:eastAsia="zh-CN"/>
        </w:rPr>
      </w:pPr>
    </w:p>
    <w:p>
      <w:pPr>
        <w:widowControl w:val="0"/>
        <w:wordWrap/>
        <w:adjustRightInd/>
        <w:spacing w:before="0" w:after="0" w:line="600" w:lineRule="exact"/>
        <w:ind w:left="0"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color w:val="auto"/>
          <w:sz w:val="44"/>
          <w:szCs w:val="44"/>
          <w:highlight w:val="none"/>
          <w:lang w:eastAsia="zh-CN"/>
        </w:rPr>
      </w:pPr>
    </w:p>
    <w:p>
      <w:pPr>
        <w:widowControl w:val="0"/>
        <w:wordWrap/>
        <w:adjustRightInd/>
        <w:spacing w:before="0" w:after="0" w:line="600" w:lineRule="exact"/>
        <w:ind w:left="0" w:right="0"/>
        <w:jc w:val="both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color w:val="auto"/>
          <w:sz w:val="44"/>
          <w:szCs w:val="44"/>
          <w:highlight w:val="none"/>
          <w:lang w:eastAsia="zh-CN"/>
        </w:rPr>
      </w:pPr>
    </w:p>
    <w:p>
      <w:pPr>
        <w:widowControl w:val="0"/>
        <w:wordWrap/>
        <w:adjustRightInd/>
        <w:spacing w:before="0" w:after="0" w:line="600" w:lineRule="exact"/>
        <w:ind w:left="0"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color w:val="auto"/>
          <w:sz w:val="44"/>
          <w:szCs w:val="44"/>
          <w:highlight w:val="none"/>
          <w:lang w:eastAsia="zh-CN"/>
        </w:rPr>
      </w:pPr>
    </w:p>
    <w:p>
      <w:pPr>
        <w:widowControl w:val="0"/>
        <w:wordWrap/>
        <w:adjustRightInd/>
        <w:spacing w:before="0" w:after="0" w:line="600" w:lineRule="exact"/>
        <w:ind w:left="0"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color w:val="auto"/>
          <w:sz w:val="44"/>
          <w:szCs w:val="44"/>
          <w:highlight w:val="none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color w:val="auto"/>
          <w:sz w:val="44"/>
          <w:szCs w:val="44"/>
          <w:highlight w:val="none"/>
          <w:lang w:eastAsia="zh-CN"/>
        </w:rPr>
        <w:t>202</w:t>
      </w:r>
      <w:r>
        <w:rPr>
          <w:rFonts w:hint="eastAsia" w:ascii="方正小标宋简体" w:hAnsi="方正小标宋简体" w:eastAsia="方正小标宋简体" w:cs="方正小标宋简体"/>
          <w:b w:val="0"/>
          <w:bCs/>
          <w:color w:val="auto"/>
          <w:sz w:val="44"/>
          <w:szCs w:val="44"/>
          <w:highlight w:val="none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b w:val="0"/>
          <w:bCs/>
          <w:color w:val="auto"/>
          <w:sz w:val="44"/>
          <w:szCs w:val="44"/>
          <w:highlight w:val="none"/>
          <w:lang w:eastAsia="zh-CN"/>
        </w:rPr>
        <w:t>年</w:t>
      </w:r>
      <w:r>
        <w:rPr>
          <w:rFonts w:hint="eastAsia" w:ascii="方正小标宋简体" w:hAnsi="方正小标宋简体" w:eastAsia="方正小标宋简体" w:cs="方正小标宋简体"/>
          <w:b w:val="0"/>
          <w:bCs/>
          <w:color w:val="auto"/>
          <w:sz w:val="44"/>
          <w:szCs w:val="44"/>
          <w:highlight w:val="none"/>
        </w:rPr>
        <w:t>县财政预算调整方案（草案）</w:t>
      </w:r>
    </w:p>
    <w:p>
      <w:pPr>
        <w:widowControl w:val="0"/>
        <w:wordWrap/>
        <w:adjustRightInd/>
        <w:spacing w:before="0" w:after="0" w:line="600" w:lineRule="exact"/>
        <w:ind w:left="0" w:right="0" w:firstLine="645"/>
        <w:textAlignment w:val="auto"/>
        <w:rPr>
          <w:rFonts w:eastAsia="仿宋_GB2312" w:cs="仿宋_GB2312"/>
          <w:color w:val="auto"/>
          <w:sz w:val="32"/>
          <w:szCs w:val="32"/>
          <w:highlight w:val="none"/>
        </w:rPr>
      </w:pPr>
    </w:p>
    <w:p>
      <w:pPr>
        <w:widowControl w:val="0"/>
        <w:wordWrap/>
        <w:adjustRightInd/>
        <w:snapToGrid w:val="0"/>
        <w:spacing w:before="0" w:after="0" w:line="60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按照《预算法》和《河北省预算审查监督条例》有关规定，</w:t>
      </w:r>
      <w:r>
        <w:rPr>
          <w:rFonts w:hint="eastAsia" w:ascii="仿宋_GB2312" w:hAnsi="仿宋_GB2312" w:eastAsia="仿宋_GB2312" w:cs="仿宋_GB2312"/>
          <w:bCs/>
          <w:color w:val="auto"/>
          <w:sz w:val="32"/>
          <w:szCs w:val="32"/>
          <w:highlight w:val="none"/>
        </w:rPr>
        <w:t>和我县实际工作需要增加的项目，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需对202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年县一般公共预算、</w:t>
      </w:r>
      <w:r>
        <w:rPr>
          <w:rFonts w:hint="eastAsia" w:ascii="仿宋_GB2312" w:hAnsi="仿宋_GB2312" w:eastAsia="仿宋_GB2312" w:cs="仿宋_GB2312"/>
          <w:bCs/>
          <w:color w:val="auto"/>
          <w:sz w:val="32"/>
          <w:szCs w:val="32"/>
          <w:highlight w:val="none"/>
        </w:rPr>
        <w:t>收回可用财政存量资金、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政府性基金预算、</w:t>
      </w:r>
      <w:r>
        <w:rPr>
          <w:rFonts w:hint="eastAsia" w:ascii="仿宋_GB2312" w:hAnsi="仿宋_GB2312" w:eastAsia="仿宋_GB2312" w:cs="仿宋_GB2312"/>
          <w:bCs/>
          <w:color w:val="auto"/>
          <w:sz w:val="32"/>
          <w:szCs w:val="32"/>
          <w:highlight w:val="none"/>
          <w:lang w:val="en-US" w:eastAsia="zh-CN"/>
        </w:rPr>
        <w:t>社会保险基金预算、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政府性债务限额进行调整。具体调整如下：</w:t>
      </w:r>
    </w:p>
    <w:p>
      <w:pPr>
        <w:widowControl w:val="0"/>
        <w:wordWrap/>
        <w:adjustRightInd/>
        <w:snapToGrid w:val="0"/>
        <w:spacing w:before="0" w:after="0" w:line="600" w:lineRule="exact"/>
        <w:ind w:left="0" w:right="0" w:firstLine="640" w:firstLineChars="200"/>
        <w:jc w:val="both"/>
        <w:textAlignment w:val="auto"/>
        <w:outlineLvl w:val="0"/>
        <w:rPr>
          <w:rFonts w:eastAsia="黑体" w:cs="黑体"/>
          <w:bCs/>
          <w:color w:val="auto"/>
          <w:sz w:val="32"/>
          <w:szCs w:val="32"/>
          <w:highlight w:val="none"/>
        </w:rPr>
      </w:pPr>
      <w:r>
        <w:rPr>
          <w:rFonts w:hint="eastAsia" w:eastAsia="黑体" w:cs="黑体"/>
          <w:bCs/>
          <w:color w:val="auto"/>
          <w:sz w:val="32"/>
          <w:szCs w:val="32"/>
          <w:highlight w:val="none"/>
        </w:rPr>
        <w:t>一、一般公共预算调整方案</w:t>
      </w:r>
    </w:p>
    <w:p>
      <w:pPr>
        <w:widowControl w:val="0"/>
        <w:wordWrap/>
        <w:adjustRightInd/>
        <w:snapToGrid w:val="0"/>
        <w:spacing w:before="0" w:after="0" w:line="600" w:lineRule="exact"/>
        <w:ind w:left="0" w:right="0" w:firstLine="645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根据新增财力情况，一般公共预算支出由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359716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万元调整为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375145万元，加上上解支出1301万元，债务还本支出4827万元，支出总计381273万元。新增财力15429万元，加上一般公共预算年初预算项目调整资金38641万元，可安排支出的资金共54070万元，相应安排支出54070万元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。</w:t>
      </w:r>
    </w:p>
    <w:p>
      <w:pPr>
        <w:widowControl w:val="0"/>
        <w:wordWrap/>
        <w:adjustRightInd/>
        <w:snapToGrid w:val="0"/>
        <w:spacing w:before="0" w:after="0" w:line="60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</w:pPr>
      <w:r>
        <w:rPr>
          <w:rFonts w:hint="eastAsia" w:ascii="楷体_GB2312" w:hAnsi="楷体_GB2312" w:eastAsia="楷体_GB2312" w:cs="楷体_GB2312"/>
          <w:color w:val="auto"/>
          <w:sz w:val="32"/>
          <w:szCs w:val="32"/>
          <w:highlight w:val="none"/>
        </w:rPr>
        <w:t>（</w:t>
      </w:r>
      <w:r>
        <w:rPr>
          <w:rFonts w:hint="eastAsia" w:ascii="楷体_GB2312" w:hAnsi="楷体_GB2312" w:eastAsia="楷体_GB2312" w:cs="楷体_GB2312"/>
          <w:color w:val="auto"/>
          <w:sz w:val="32"/>
          <w:szCs w:val="32"/>
          <w:highlight w:val="none"/>
          <w:lang w:val="en-US" w:eastAsia="zh-CN"/>
        </w:rPr>
        <w:t>一</w:t>
      </w:r>
      <w:r>
        <w:rPr>
          <w:rFonts w:hint="eastAsia" w:ascii="楷体_GB2312" w:hAnsi="楷体_GB2312" w:eastAsia="楷体_GB2312" w:cs="楷体_GB2312"/>
          <w:color w:val="auto"/>
          <w:sz w:val="32"/>
          <w:szCs w:val="32"/>
          <w:highlight w:val="none"/>
        </w:rPr>
        <w:t>）专项公用类</w:t>
      </w:r>
      <w:r>
        <w:rPr>
          <w:rFonts w:hint="eastAsia" w:ascii="楷体_GB2312" w:hAnsi="楷体_GB2312" w:eastAsia="楷体_GB2312" w:cs="楷体_GB2312"/>
          <w:color w:val="auto"/>
          <w:sz w:val="32"/>
          <w:szCs w:val="32"/>
          <w:highlight w:val="none"/>
          <w:lang w:val="en-US" w:eastAsia="zh-CN"/>
        </w:rPr>
        <w:t>1198</w:t>
      </w:r>
      <w:r>
        <w:rPr>
          <w:rFonts w:hint="eastAsia" w:ascii="楷体_GB2312" w:hAnsi="楷体_GB2312" w:eastAsia="楷体_GB2312" w:cs="楷体_GB2312"/>
          <w:color w:val="auto"/>
          <w:sz w:val="32"/>
          <w:szCs w:val="32"/>
          <w:highlight w:val="none"/>
        </w:rPr>
        <w:t>万元。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主要用于城区环卫自运营工作经费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809.57万元，住户收支调查经费93.32万元，行政服务中心电费90、照明设施电费40万元、承办全市“全国科协工作者”座谈交流表彰经费、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2025防范非法集资宣传费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、编制《2025-2027年两大产业集群发展规划》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费用等165.11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万元。</w:t>
      </w:r>
    </w:p>
    <w:p>
      <w:pPr>
        <w:widowControl w:val="0"/>
        <w:numPr>
          <w:ilvl w:val="0"/>
          <w:numId w:val="0"/>
        </w:numPr>
        <w:wordWrap/>
        <w:adjustRightInd/>
        <w:snapToGrid w:val="0"/>
        <w:spacing w:before="0" w:after="0" w:line="60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楷体_GB2312" w:hAnsi="楷体_GB2312" w:eastAsia="楷体_GB2312" w:cs="楷体_GB2312"/>
          <w:color w:val="auto"/>
          <w:sz w:val="32"/>
          <w:szCs w:val="32"/>
          <w:highlight w:val="none"/>
          <w:lang w:eastAsia="zh-CN"/>
        </w:rPr>
        <w:t>（</w:t>
      </w:r>
      <w:r>
        <w:rPr>
          <w:rFonts w:hint="eastAsia" w:ascii="楷体_GB2312" w:hAnsi="楷体_GB2312" w:eastAsia="楷体_GB2312" w:cs="楷体_GB2312"/>
          <w:color w:val="auto"/>
          <w:sz w:val="32"/>
          <w:szCs w:val="32"/>
          <w:highlight w:val="none"/>
          <w:lang w:val="en-US" w:eastAsia="zh-CN"/>
        </w:rPr>
        <w:t>二</w:t>
      </w:r>
      <w:r>
        <w:rPr>
          <w:rFonts w:hint="eastAsia" w:ascii="楷体_GB2312" w:hAnsi="楷体_GB2312" w:eastAsia="楷体_GB2312" w:cs="楷体_GB2312"/>
          <w:color w:val="auto"/>
          <w:sz w:val="32"/>
          <w:szCs w:val="32"/>
          <w:highlight w:val="none"/>
          <w:lang w:eastAsia="zh-CN"/>
        </w:rPr>
        <w:t>）</w:t>
      </w:r>
      <w:r>
        <w:rPr>
          <w:rFonts w:hint="eastAsia" w:ascii="楷体_GB2312" w:hAnsi="楷体_GB2312" w:eastAsia="楷体_GB2312" w:cs="楷体_GB2312"/>
          <w:color w:val="auto"/>
          <w:sz w:val="32"/>
          <w:szCs w:val="32"/>
          <w:highlight w:val="none"/>
        </w:rPr>
        <w:t>项目工程、</w:t>
      </w:r>
      <w:r>
        <w:rPr>
          <w:rFonts w:hint="eastAsia" w:ascii="楷体_GB2312" w:hAnsi="楷体_GB2312" w:eastAsia="楷体_GB2312" w:cs="楷体_GB2312"/>
          <w:color w:val="auto"/>
          <w:sz w:val="32"/>
          <w:szCs w:val="32"/>
          <w:highlight w:val="none"/>
          <w:lang w:val="en-US" w:eastAsia="zh-CN"/>
        </w:rPr>
        <w:t>民生</w:t>
      </w:r>
      <w:r>
        <w:rPr>
          <w:rFonts w:hint="eastAsia" w:ascii="楷体_GB2312" w:hAnsi="楷体_GB2312" w:eastAsia="楷体_GB2312" w:cs="楷体_GB2312"/>
          <w:color w:val="auto"/>
          <w:sz w:val="32"/>
          <w:szCs w:val="32"/>
          <w:highlight w:val="none"/>
          <w:lang w:eastAsia="zh-CN"/>
        </w:rPr>
        <w:t>、</w:t>
      </w:r>
      <w:r>
        <w:rPr>
          <w:rFonts w:hint="eastAsia" w:ascii="楷体_GB2312" w:hAnsi="楷体_GB2312" w:eastAsia="楷体_GB2312" w:cs="楷体_GB2312"/>
          <w:color w:val="auto"/>
          <w:sz w:val="32"/>
          <w:szCs w:val="32"/>
          <w:highlight w:val="none"/>
          <w:lang w:val="en-US" w:eastAsia="zh-CN"/>
        </w:rPr>
        <w:t>拆迁补偿</w:t>
      </w:r>
      <w:r>
        <w:rPr>
          <w:rFonts w:hint="eastAsia" w:ascii="楷体_GB2312" w:hAnsi="楷体_GB2312" w:eastAsia="楷体_GB2312" w:cs="楷体_GB2312"/>
          <w:color w:val="auto"/>
          <w:sz w:val="32"/>
          <w:szCs w:val="32"/>
          <w:highlight w:val="none"/>
        </w:rPr>
        <w:t>类</w:t>
      </w:r>
      <w:r>
        <w:rPr>
          <w:rFonts w:hint="eastAsia" w:ascii="楷体_GB2312" w:hAnsi="楷体_GB2312" w:eastAsia="楷体_GB2312" w:cs="楷体_GB2312"/>
          <w:color w:val="auto"/>
          <w:sz w:val="32"/>
          <w:szCs w:val="32"/>
          <w:highlight w:val="none"/>
          <w:lang w:val="en-US" w:eastAsia="zh-CN"/>
        </w:rPr>
        <w:t>42572</w:t>
      </w:r>
      <w:r>
        <w:rPr>
          <w:rFonts w:hint="eastAsia" w:ascii="楷体_GB2312" w:hAnsi="楷体_GB2312" w:eastAsia="楷体_GB2312" w:cs="楷体_GB2312"/>
          <w:color w:val="auto"/>
          <w:sz w:val="32"/>
          <w:szCs w:val="32"/>
          <w:highlight w:val="none"/>
        </w:rPr>
        <w:t>万元。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主要用于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耕地占用税、元北污水处理厂处置税、合同印花税及城镇土地使用税13275.71万元，注入资本金711万元，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大气办2025年项目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保障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费用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524.1万元，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南水北调水费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2276.2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万元，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供暖费3000万元，2025-2026采暖季气价倒挂补助资金400万元，机关事业养老保险1200万元，城乡居民养老保险470万元，人才绿卡房租补助103.18万元，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蟠龙湖梯田整理项目清除地上附着物补偿资金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307.8万元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占地补偿5915.08万元，装院路改造房屋拆迁补偿资金226万元，乡镇拆迁搬家费及安置过渡费902.2万元，红旗大街面貌提升149.99万元，乡镇森林防火经费、信访维稳经费、人居环境整治资金等13110.74万元。</w:t>
      </w:r>
    </w:p>
    <w:p>
      <w:pPr>
        <w:widowControl w:val="0"/>
        <w:numPr>
          <w:ilvl w:val="0"/>
          <w:numId w:val="0"/>
        </w:numPr>
        <w:wordWrap/>
        <w:adjustRightInd/>
        <w:snapToGrid/>
        <w:spacing w:before="0" w:after="0" w:line="600" w:lineRule="exact"/>
        <w:ind w:left="0" w:righ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楷体_GB2312" w:hAnsi="楷体_GB2312" w:eastAsia="楷体_GB2312" w:cs="楷体_GB2312"/>
          <w:color w:val="auto"/>
          <w:sz w:val="32"/>
          <w:szCs w:val="32"/>
          <w:highlight w:val="none"/>
        </w:rPr>
        <w:t>（</w:t>
      </w:r>
      <w:r>
        <w:rPr>
          <w:rFonts w:hint="eastAsia" w:ascii="楷体_GB2312" w:hAnsi="楷体_GB2312" w:eastAsia="楷体_GB2312" w:cs="楷体_GB2312"/>
          <w:color w:val="auto"/>
          <w:sz w:val="32"/>
          <w:szCs w:val="32"/>
          <w:highlight w:val="none"/>
          <w:lang w:val="en-US" w:eastAsia="zh-CN"/>
        </w:rPr>
        <w:t>三</w:t>
      </w:r>
      <w:r>
        <w:rPr>
          <w:rFonts w:hint="eastAsia" w:ascii="楷体_GB2312" w:hAnsi="楷体_GB2312" w:eastAsia="楷体_GB2312" w:cs="楷体_GB2312"/>
          <w:color w:val="auto"/>
          <w:sz w:val="32"/>
          <w:szCs w:val="32"/>
          <w:highlight w:val="none"/>
        </w:rPr>
        <w:t>）一般债券</w:t>
      </w: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highlight w:val="none"/>
          <w:lang w:val="en-US" w:eastAsia="zh-CN"/>
        </w:rPr>
        <w:t>10300</w:t>
      </w:r>
      <w:r>
        <w:rPr>
          <w:rFonts w:hint="eastAsia" w:ascii="楷体_GB2312" w:hAnsi="楷体_GB2312" w:eastAsia="楷体_GB2312" w:cs="楷体_GB2312"/>
          <w:color w:val="auto"/>
          <w:sz w:val="32"/>
          <w:szCs w:val="32"/>
          <w:highlight w:val="none"/>
        </w:rPr>
        <w:t>万元。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zh-CN" w:eastAsia="zh-CN"/>
        </w:rPr>
        <w:t>用于元氏县滨河南路东延与京广铁路及107国道互通立交工程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8300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zh-CN" w:eastAsia="zh-CN"/>
        </w:rPr>
        <w:t>万元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、元氏县双龙大道改造工程2000万元。</w:t>
      </w:r>
    </w:p>
    <w:p>
      <w:pPr>
        <w:widowControl w:val="0"/>
        <w:wordWrap/>
        <w:adjustRightInd/>
        <w:snapToGrid w:val="0"/>
        <w:spacing w:before="0" w:after="0" w:line="600" w:lineRule="exact"/>
        <w:ind w:left="0" w:right="0" w:firstLine="640" w:firstLineChars="200"/>
        <w:jc w:val="both"/>
        <w:textAlignment w:val="auto"/>
        <w:rPr>
          <w:rFonts w:hint="eastAsia" w:eastAsia="仿宋" w:cs="仿宋"/>
          <w:color w:val="auto"/>
          <w:sz w:val="32"/>
          <w:szCs w:val="32"/>
          <w:highlight w:val="none"/>
        </w:rPr>
      </w:pPr>
      <w:r>
        <w:rPr>
          <w:rFonts w:hint="eastAsia" w:eastAsia="黑体" w:cs="黑体"/>
          <w:bCs/>
          <w:color w:val="auto"/>
          <w:sz w:val="32"/>
          <w:szCs w:val="32"/>
          <w:highlight w:val="none"/>
        </w:rPr>
        <w:t>二、收回可用存量资金调整方案</w:t>
      </w:r>
    </w:p>
    <w:p>
      <w:pPr>
        <w:widowControl w:val="0"/>
        <w:wordWrap/>
        <w:adjustRightInd/>
        <w:snapToGrid w:val="0"/>
        <w:spacing w:before="0" w:after="0" w:line="600" w:lineRule="exact"/>
        <w:ind w:left="0" w:right="0" w:firstLine="640" w:firstLineChars="200"/>
        <w:jc w:val="both"/>
        <w:textAlignment w:val="auto"/>
        <w:rPr>
          <w:rFonts w:hint="eastAsia" w:ascii="仿宋" w:hAnsi="仿宋" w:eastAsia="仿宋" w:cs="仿宋"/>
          <w:color w:val="auto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根据上级政策收回可用财政存量资金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614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万元，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相应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安排支出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614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万元，主要用于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西阳村新建供水站工程建设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项目、地质灾害防治项目、山水林田湖草沙生态保护修护项目等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。</w:t>
      </w:r>
    </w:p>
    <w:p>
      <w:pPr>
        <w:widowControl w:val="0"/>
        <w:wordWrap/>
        <w:adjustRightInd/>
        <w:snapToGrid w:val="0"/>
        <w:spacing w:before="0" w:after="0" w:line="600" w:lineRule="exact"/>
        <w:ind w:left="0" w:right="0" w:firstLine="640" w:firstLineChars="200"/>
        <w:jc w:val="both"/>
        <w:textAlignment w:val="auto"/>
        <w:outlineLvl w:val="0"/>
        <w:rPr>
          <w:rFonts w:eastAsia="楷体" w:cs="楷体_GB2312"/>
          <w:b/>
          <w:color w:val="auto"/>
          <w:sz w:val="32"/>
          <w:szCs w:val="32"/>
          <w:highlight w:val="none"/>
        </w:rPr>
      </w:pPr>
      <w:r>
        <w:rPr>
          <w:rFonts w:hint="eastAsia" w:eastAsia="黑体" w:cs="黑体"/>
          <w:bCs/>
          <w:color w:val="auto"/>
          <w:sz w:val="32"/>
          <w:szCs w:val="32"/>
          <w:highlight w:val="none"/>
        </w:rPr>
        <w:t>三、政府性基金预算调整方案</w:t>
      </w:r>
    </w:p>
    <w:p>
      <w:pPr>
        <w:widowControl w:val="0"/>
        <w:wordWrap/>
        <w:adjustRightInd/>
        <w:snapToGrid w:val="0"/>
        <w:spacing w:before="0" w:after="0" w:line="60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zh-CN"/>
        </w:rPr>
        <w:t>根据新增财力情况，政府性基金支出由149245万元调整为27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zh-CN"/>
        </w:rPr>
        <w:t>695万元，加上年初专项债券还本支出47510万元及新增专项债券还本支出1300万元，支出总计3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22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zh-CN"/>
        </w:rPr>
        <w:t>505万元。新增可用财力12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44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zh-CN"/>
        </w:rPr>
        <w:t>50万元，加年初预算项目调整8400万元，可安排支出资金为13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28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zh-CN"/>
        </w:rPr>
        <w:t>50万元，相应安排支出13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28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zh-CN"/>
        </w:rPr>
        <w:t>50万元。</w:t>
      </w:r>
    </w:p>
    <w:p>
      <w:pPr>
        <w:widowControl w:val="0"/>
        <w:wordWrap/>
        <w:adjustRightInd/>
        <w:snapToGrid w:val="0"/>
        <w:spacing w:before="0" w:after="0" w:line="60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楷体_GB2312" w:hAnsi="楷体_GB2312" w:eastAsia="楷体_GB2312" w:cs="楷体_GB2312"/>
          <w:color w:val="auto"/>
          <w:sz w:val="32"/>
          <w:szCs w:val="32"/>
          <w:highlight w:val="none"/>
          <w:lang w:val="en-US" w:eastAsia="zh-CN"/>
        </w:rPr>
        <w:t>（一）年初预算项目调整支出8400万元。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主要用于2025年专项债付息。</w:t>
      </w:r>
    </w:p>
    <w:p>
      <w:pPr>
        <w:widowControl w:val="0"/>
        <w:numPr>
          <w:ilvl w:val="0"/>
          <w:numId w:val="0"/>
        </w:numPr>
        <w:wordWrap/>
        <w:adjustRightInd/>
        <w:snapToGrid/>
        <w:spacing w:before="0" w:after="0" w:line="60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zh-CN" w:eastAsia="zh-CN"/>
        </w:rPr>
      </w:pPr>
      <w:r>
        <w:rPr>
          <w:rFonts w:hint="eastAsia" w:ascii="楷体_GB2312" w:hAnsi="楷体_GB2312" w:eastAsia="楷体_GB2312" w:cs="楷体_GB2312"/>
          <w:color w:val="auto"/>
          <w:sz w:val="32"/>
          <w:szCs w:val="32"/>
          <w:highlight w:val="none"/>
          <w:lang w:val="en-US" w:eastAsia="zh-CN"/>
        </w:rPr>
        <w:t>（二）</w:t>
      </w:r>
      <w:r>
        <w:rPr>
          <w:rFonts w:hint="eastAsia" w:ascii="楷体_GB2312" w:hAnsi="楷体_GB2312" w:eastAsia="楷体_GB2312" w:cs="楷体_GB2312"/>
          <w:color w:val="auto"/>
          <w:sz w:val="32"/>
          <w:szCs w:val="32"/>
          <w:highlight w:val="none"/>
        </w:rPr>
        <w:t>新增政府专项债券资金</w:t>
      </w: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highlight w:val="none"/>
          <w:lang w:val="en-US" w:eastAsia="zh-CN"/>
        </w:rPr>
        <w:t>157000</w:t>
      </w: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highlight w:val="none"/>
          <w:lang w:val="zh-CN" w:eastAsia="zh-CN"/>
        </w:rPr>
        <w:t>万元。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zh-CN" w:eastAsia="zh-CN"/>
        </w:rPr>
        <w:t>用于元氏县职业技术教育中心新校区建设项目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39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zh-CN" w:eastAsia="zh-CN"/>
        </w:rPr>
        <w:t>00万元、元氏县蟠龙湖片区停车场及附属设施建设项目1500万元、元氏县医院新院区项目（二期）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13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zh-CN" w:eastAsia="zh-CN"/>
        </w:rPr>
        <w:t>700万元、元氏县农村供水管网和计量设施改造提升工程10700万元、元氏县南水北调联村地表水厂工程项目1000万元、元氏县2023年城区智慧泊车综合建设工程14500万元、元氏县城区排水内涝综合整治工程（一期）13500万元、元氏县地下综合电力管廊建设工程9400万元、元氏县租赁住房及配套基础设施工程槐水流春项目一期工程2700万元、元氏县租赁住房及配套基础设施工程槐水流春项目二期工程3000万元、元氏县电力线路入地项目17900万元、元氏县农村人居环境整治项目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7926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zh-CN" w:eastAsia="zh-CN"/>
        </w:rPr>
        <w:t>万元、元氏县农田灌溉设施建设项目8700万元、元氏县医院新院区项目（一期）10000万元、元氏县中医院提标扩能中医药能力提升项目3000万元、河北元氏经济开发区苏阳园区污水处理厂基础设施及配套工程3600万元、河北元氏经济开发区诚信园区基础设施及配套工程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6674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zh-CN" w:eastAsia="zh-CN"/>
        </w:rPr>
        <w:t>万元、河北元氏经济开发区医药园区基础设施及配套提升工程14500万元、河北元氏经济开发区槐阳污水处理厂提标改造项目1000万元、元氏县综合客运枢纽工程2800万元、元氏县燃气管网基础设施改造提升项目1000万元、化解拖欠企业账款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60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zh-CN" w:eastAsia="zh-CN"/>
        </w:rPr>
        <w:t>00万元。</w:t>
      </w:r>
    </w:p>
    <w:p>
      <w:pPr>
        <w:widowControl w:val="0"/>
        <w:numPr>
          <w:ilvl w:val="0"/>
          <w:numId w:val="0"/>
        </w:numPr>
        <w:wordWrap/>
        <w:adjustRightInd/>
        <w:snapToGrid/>
        <w:spacing w:before="0" w:after="0" w:line="60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楷体_GB2312" w:hAnsi="楷体_GB2312" w:eastAsia="楷体_GB2312" w:cs="楷体_GB2312"/>
          <w:color w:val="auto"/>
          <w:sz w:val="32"/>
          <w:szCs w:val="32"/>
          <w:highlight w:val="none"/>
          <w:lang w:val="zh-CN" w:eastAsia="zh-CN"/>
        </w:rPr>
        <w:t>（</w:t>
      </w:r>
      <w:r>
        <w:rPr>
          <w:rFonts w:hint="eastAsia" w:ascii="楷体_GB2312" w:hAnsi="楷体_GB2312" w:eastAsia="楷体_GB2312" w:cs="楷体_GB2312"/>
          <w:color w:val="auto"/>
          <w:sz w:val="32"/>
          <w:szCs w:val="32"/>
          <w:highlight w:val="none"/>
          <w:lang w:val="en-US" w:eastAsia="zh-CN"/>
        </w:rPr>
        <w:t>三</w:t>
      </w:r>
      <w:r>
        <w:rPr>
          <w:rFonts w:hint="eastAsia" w:ascii="楷体_GB2312" w:hAnsi="楷体_GB2312" w:eastAsia="楷体_GB2312" w:cs="楷体_GB2312"/>
          <w:color w:val="auto"/>
          <w:sz w:val="32"/>
          <w:szCs w:val="32"/>
          <w:highlight w:val="none"/>
          <w:lang w:val="zh-CN" w:eastAsia="zh-CN"/>
        </w:rPr>
        <w:t>）</w:t>
      </w:r>
      <w:r>
        <w:rPr>
          <w:rFonts w:hint="eastAsia" w:ascii="楷体_GB2312" w:hAnsi="楷体_GB2312" w:eastAsia="楷体_GB2312" w:cs="楷体_GB2312"/>
          <w:color w:val="auto"/>
          <w:sz w:val="32"/>
          <w:szCs w:val="32"/>
          <w:highlight w:val="none"/>
          <w:lang w:val="en-US" w:eastAsia="zh-CN"/>
        </w:rPr>
        <w:t>新增</w:t>
      </w:r>
      <w:r>
        <w:rPr>
          <w:rFonts w:hint="eastAsia" w:ascii="楷体_GB2312" w:hAnsi="楷体_GB2312" w:eastAsia="楷体_GB2312" w:cs="楷体_GB2312"/>
          <w:color w:val="auto"/>
          <w:kern w:val="2"/>
          <w:sz w:val="32"/>
          <w:szCs w:val="32"/>
          <w:highlight w:val="none"/>
          <w:lang w:val="en-US" w:eastAsia="zh-CN" w:bidi="ar-SA"/>
        </w:rPr>
        <w:t>置换存量隐性债务再融资专项债券资金1300万元。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>全部用于</w:t>
      </w:r>
      <w:bookmarkStart w:id="0" w:name="OLE_LINK1"/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>元氏县文化路建设项目</w:t>
      </w:r>
      <w:bookmarkEnd w:id="0"/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>。</w:t>
      </w:r>
    </w:p>
    <w:p>
      <w:pPr>
        <w:widowControl w:val="0"/>
        <w:wordWrap/>
        <w:adjustRightInd/>
        <w:spacing w:before="0" w:after="0" w:line="60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pacing w:val="-4"/>
          <w:sz w:val="32"/>
          <w:szCs w:val="32"/>
          <w:highlight w:val="none"/>
        </w:rPr>
      </w:pPr>
      <w:r>
        <w:rPr>
          <w:rFonts w:hint="eastAsia" w:ascii="楷体_GB2312" w:hAnsi="楷体_GB2312" w:eastAsia="楷体_GB2312" w:cs="楷体_GB2312"/>
          <w:color w:val="auto"/>
          <w:sz w:val="32"/>
          <w:szCs w:val="32"/>
          <w:highlight w:val="none"/>
          <w:lang w:val="zh-CN" w:eastAsia="zh-CN"/>
        </w:rPr>
        <w:t>（</w:t>
      </w:r>
      <w:r>
        <w:rPr>
          <w:rFonts w:hint="eastAsia" w:ascii="楷体_GB2312" w:hAnsi="楷体_GB2312" w:eastAsia="楷体_GB2312" w:cs="楷体_GB2312"/>
          <w:color w:val="auto"/>
          <w:sz w:val="32"/>
          <w:szCs w:val="32"/>
          <w:highlight w:val="none"/>
          <w:lang w:val="en-US" w:eastAsia="zh-CN"/>
        </w:rPr>
        <w:t>四</w:t>
      </w:r>
      <w:r>
        <w:rPr>
          <w:rFonts w:hint="eastAsia" w:ascii="楷体_GB2312" w:hAnsi="楷体_GB2312" w:eastAsia="楷体_GB2312" w:cs="楷体_GB2312"/>
          <w:color w:val="auto"/>
          <w:sz w:val="32"/>
          <w:szCs w:val="32"/>
          <w:highlight w:val="none"/>
          <w:lang w:val="zh-CN" w:eastAsia="zh-CN"/>
        </w:rPr>
        <w:t>）</w:t>
      </w:r>
      <w:r>
        <w:rPr>
          <w:rFonts w:hint="eastAsia" w:ascii="仿宋_GB2312" w:hAnsi="仿宋_GB2312" w:eastAsia="仿宋_GB2312" w:cs="仿宋_GB2312"/>
          <w:color w:val="auto"/>
          <w:spacing w:val="-4"/>
          <w:sz w:val="32"/>
          <w:szCs w:val="32"/>
          <w:highlight w:val="none"/>
          <w:lang w:val="en-US" w:eastAsia="zh-CN"/>
        </w:rPr>
        <w:t>由于年初预算短收32550万元，相应压减支出32550万元</w:t>
      </w:r>
      <w:r>
        <w:rPr>
          <w:rFonts w:hint="eastAsia" w:ascii="仿宋_GB2312" w:hAnsi="仿宋_GB2312" w:eastAsia="仿宋_GB2312" w:cs="仿宋_GB2312"/>
          <w:color w:val="auto"/>
          <w:spacing w:val="-4"/>
          <w:sz w:val="32"/>
          <w:szCs w:val="32"/>
          <w:highlight w:val="none"/>
        </w:rPr>
        <w:t>。</w:t>
      </w:r>
    </w:p>
    <w:p>
      <w:pPr>
        <w:widowControl w:val="0"/>
        <w:wordWrap/>
        <w:adjustRightInd/>
        <w:snapToGrid w:val="0"/>
        <w:spacing w:before="0" w:after="0" w:line="600" w:lineRule="exact"/>
        <w:ind w:left="0" w:right="0" w:firstLine="640" w:firstLineChars="200"/>
        <w:jc w:val="both"/>
        <w:textAlignment w:val="auto"/>
        <w:outlineLvl w:val="0"/>
        <w:rPr>
          <w:rFonts w:hint="default" w:eastAsia="黑体" w:cs="黑体"/>
          <w:bCs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eastAsia="黑体" w:cs="黑体"/>
          <w:bCs/>
          <w:color w:val="auto"/>
          <w:sz w:val="32"/>
          <w:szCs w:val="32"/>
          <w:highlight w:val="none"/>
          <w:lang w:val="en-US" w:eastAsia="zh-CN"/>
        </w:rPr>
        <w:t>四、社会保险基金预算调整方案</w:t>
      </w:r>
    </w:p>
    <w:p>
      <w:pPr>
        <w:widowControl w:val="0"/>
        <w:wordWrap/>
        <w:adjustRightInd/>
        <w:spacing w:before="0" w:after="0" w:line="60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pacing w:val="-4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color w:val="auto"/>
          <w:sz w:val="32"/>
          <w:szCs w:val="32"/>
          <w:highlight w:val="none"/>
          <w:lang w:val="en-US" w:eastAsia="zh-CN"/>
        </w:rPr>
        <w:t>2025年城乡居民养老保险收入总计由69422万元调整为69944万元，其中，本年收入由25025万元调整为25379万元，上年结余由44397万元调整为44565万元；2025年城乡居民养老保险支出总计由69422万元调整为69944万元，其中，本年支出由20826万元调整为22098万元，年末结余由48596万元调整为47846万元。2025年机关事业养老保险收入总计由24793万元调整为26366万元；2025年机关事业单位养老保险支出总计由24793万元调整为26366万元。</w:t>
      </w:r>
    </w:p>
    <w:p>
      <w:pPr>
        <w:widowControl w:val="0"/>
        <w:wordWrap/>
        <w:adjustRightInd/>
        <w:snapToGrid w:val="0"/>
        <w:spacing w:before="0" w:after="0" w:line="600" w:lineRule="exact"/>
        <w:ind w:left="0" w:right="0" w:firstLine="640" w:firstLineChars="200"/>
        <w:jc w:val="both"/>
        <w:textAlignment w:val="auto"/>
        <w:rPr>
          <w:rFonts w:eastAsia="黑体" w:cs="黑体"/>
          <w:bCs/>
          <w:color w:val="auto"/>
          <w:sz w:val="32"/>
          <w:szCs w:val="32"/>
          <w:highlight w:val="none"/>
        </w:rPr>
      </w:pPr>
      <w:r>
        <w:rPr>
          <w:rFonts w:hint="eastAsia" w:eastAsia="黑体" w:cs="黑体"/>
          <w:bCs/>
          <w:color w:val="auto"/>
          <w:sz w:val="32"/>
          <w:szCs w:val="32"/>
          <w:highlight w:val="none"/>
          <w:lang w:val="en-US" w:eastAsia="zh-CN"/>
        </w:rPr>
        <w:t>五</w:t>
      </w:r>
      <w:r>
        <w:rPr>
          <w:rFonts w:hint="eastAsia" w:eastAsia="黑体" w:cs="黑体"/>
          <w:bCs/>
          <w:color w:val="auto"/>
          <w:sz w:val="32"/>
          <w:szCs w:val="32"/>
          <w:highlight w:val="none"/>
        </w:rPr>
        <w:t>、政府债务限额调整方案</w:t>
      </w:r>
    </w:p>
    <w:p>
      <w:pPr>
        <w:widowControl w:val="0"/>
        <w:wordWrap/>
        <w:adjustRightInd/>
        <w:snapToGrid w:val="0"/>
        <w:spacing w:before="0" w:after="0" w:line="600" w:lineRule="exact"/>
        <w:ind w:left="0" w:right="0" w:firstLine="720" w:firstLineChars="225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>2025年，省财政厅下达我县新增地方政府限额167300万元，其中：一般债务限额10300万元，专项债务限额157000万元。另外，下达新增置换存量隐性专项债务限额1300万元。下达结存一般债务限额1400万元。</w:t>
      </w:r>
    </w:p>
    <w:p>
      <w:pPr>
        <w:widowControl w:val="0"/>
        <w:wordWrap/>
        <w:adjustRightInd/>
        <w:snapToGrid w:val="0"/>
        <w:spacing w:before="0" w:after="0" w:line="600" w:lineRule="exact"/>
        <w:ind w:left="0" w:right="0" w:firstLine="720" w:firstLineChars="225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>2025年，省财政厅收回我县政府债务限额6500万元，其中一般债务限额1600万元，专项债务限额4900万元。</w:t>
      </w:r>
    </w:p>
    <w:p>
      <w:pPr>
        <w:widowControl w:val="0"/>
        <w:wordWrap/>
        <w:adjustRightInd/>
        <w:snapToGrid w:val="0"/>
        <w:spacing w:before="0" w:after="0" w:line="600" w:lineRule="exact"/>
        <w:ind w:left="0" w:right="0" w:firstLine="720" w:firstLineChars="225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>2025年我县地方政府债务限额变为749255.47万元，其中：一般债务限额110168.47万元，专项债务限额639087万元。</w:t>
      </w:r>
    </w:p>
    <w:p>
      <w:pPr>
        <w:widowControl w:val="0"/>
        <w:wordWrap/>
        <w:adjustRightInd/>
        <w:snapToGrid w:val="0"/>
        <w:spacing w:before="0" w:after="0" w:line="600" w:lineRule="exact"/>
        <w:ind w:left="0" w:right="0" w:firstLine="720" w:firstLineChars="225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eastAsia="黑体" w:cs="黑体"/>
          <w:bCs/>
          <w:color w:val="auto"/>
          <w:sz w:val="32"/>
          <w:szCs w:val="32"/>
          <w:highlight w:val="none"/>
          <w:lang w:val="en-US" w:eastAsia="zh-CN"/>
        </w:rPr>
        <w:t>六、以前年度政府债券资金调整情况</w:t>
      </w:r>
    </w:p>
    <w:p>
      <w:pPr>
        <w:widowControl w:val="0"/>
        <w:wordWrap/>
        <w:adjustRightInd/>
        <w:snapToGrid w:val="0"/>
        <w:spacing w:before="0" w:after="0" w:line="600" w:lineRule="exact"/>
        <w:ind w:left="0" w:right="0" w:firstLine="720" w:firstLineChars="225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>2022年新增政府专项债券中原用于元氏县2023年城区雨污分流建设工程项目166.1万元、元氏县北沙河生态修复工程103.36万元和2023年新增政府专项债券中原用于2023年元氏县老旧小区改造项目8.71万元，调整用河北元氏经济开发区智造园区基础设施及配套工程。</w:t>
      </w:r>
    </w:p>
    <w:p>
      <w:pPr>
        <w:pStyle w:val="7"/>
        <w:widowControl w:val="0"/>
        <w:wordWrap/>
        <w:adjustRightInd/>
        <w:spacing w:before="0" w:after="0" w:line="600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</w:pPr>
    </w:p>
    <w:p>
      <w:pPr>
        <w:pStyle w:val="7"/>
        <w:widowControl w:val="0"/>
        <w:wordWrap/>
        <w:adjustRightInd/>
        <w:spacing w:before="0" w:after="0" w:line="600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</w:pPr>
    </w:p>
    <w:p>
      <w:pPr>
        <w:pStyle w:val="7"/>
        <w:widowControl w:val="0"/>
        <w:wordWrap/>
        <w:adjustRightInd/>
        <w:spacing w:before="0" w:after="0" w:line="60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附件：1.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2025年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一般公共预算收支调整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方案</w:t>
      </w:r>
    </w:p>
    <w:p>
      <w:pPr>
        <w:pStyle w:val="7"/>
        <w:widowControl w:val="0"/>
        <w:wordWrap/>
        <w:adjustRightInd/>
        <w:spacing w:before="0" w:after="0" w:line="600" w:lineRule="exact"/>
        <w:ind w:left="0" w:right="0" w:firstLine="1600" w:firstLineChars="5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2.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2025年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一般公共预算支出预算调整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方案</w:t>
      </w:r>
    </w:p>
    <w:p>
      <w:pPr>
        <w:pStyle w:val="7"/>
        <w:widowControl w:val="0"/>
        <w:wordWrap/>
        <w:adjustRightInd/>
        <w:spacing w:before="0" w:after="0" w:line="600" w:lineRule="exact"/>
        <w:ind w:left="0" w:right="0" w:firstLine="1600" w:firstLineChars="500"/>
        <w:jc w:val="both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</w:rPr>
        <w:t>3.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eastAsia="zh-CN"/>
        </w:rPr>
        <w:t>2025年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</w:rPr>
        <w:t>政府性基金预算收支调整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方案</w:t>
      </w:r>
    </w:p>
    <w:p>
      <w:pPr>
        <w:pStyle w:val="7"/>
        <w:widowControl w:val="0"/>
        <w:wordWrap/>
        <w:adjustRightInd/>
        <w:spacing w:before="0" w:after="0" w:line="600" w:lineRule="exact"/>
        <w:ind w:left="0" w:right="0" w:firstLine="1600" w:firstLineChars="500"/>
        <w:jc w:val="both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</w:rPr>
        <w:t>4.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eastAsia="zh-CN"/>
        </w:rPr>
        <w:t>2025年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</w:rPr>
        <w:t>政府性基金支出预算调整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方案</w:t>
      </w:r>
    </w:p>
    <w:p>
      <w:pPr>
        <w:pStyle w:val="7"/>
        <w:widowControl w:val="0"/>
        <w:wordWrap/>
        <w:adjustRightInd/>
        <w:spacing w:before="0" w:after="0" w:line="600" w:lineRule="exact"/>
        <w:ind w:left="0" w:right="0" w:firstLine="1600" w:firstLineChars="500"/>
        <w:jc w:val="both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val="en-US" w:eastAsia="zh-CN"/>
        </w:rPr>
        <w:t>5.2025年社会保险基金预算收支调整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方案</w:t>
      </w:r>
    </w:p>
    <w:p>
      <w:pPr>
        <w:widowControl w:val="0"/>
        <w:snapToGrid w:val="0"/>
        <w:spacing w:line="600" w:lineRule="exact"/>
        <w:jc w:val="both"/>
        <w:sectPr>
          <w:headerReference r:id="rId3" w:type="default"/>
          <w:footerReference r:id="rId4" w:type="default"/>
          <w:pgSz w:w="11906" w:h="16838"/>
          <w:pgMar w:top="2098" w:right="1531" w:bottom="1531" w:left="1531" w:header="851" w:footer="992" w:gutter="0"/>
          <w:pgNumType w:fmt="numberInDash"/>
          <w:cols w:space="720" w:num="1"/>
          <w:docGrid w:type="lines" w:linePitch="340" w:charSpace="0"/>
        </w:sectPr>
      </w:pPr>
    </w:p>
    <w:p>
      <w:pPr>
        <w:widowControl w:val="0"/>
        <w:snapToGrid w:val="0"/>
        <w:spacing w:line="600" w:lineRule="exact"/>
        <w:jc w:val="both"/>
        <w:rPr>
          <w:rFonts w:eastAsia="黑体" w:cs="黑体"/>
          <w:sz w:val="32"/>
          <w:szCs w:val="32"/>
          <w:highlight w:val="none"/>
        </w:rPr>
      </w:pPr>
      <w:r>
        <w:rPr>
          <w:rFonts w:hint="eastAsia" w:eastAsia="黑体" w:cs="黑体"/>
          <w:sz w:val="32"/>
          <w:szCs w:val="32"/>
          <w:highlight w:val="none"/>
        </w:rPr>
        <w:t>附件1</w:t>
      </w:r>
    </w:p>
    <w:tbl>
      <w:tblPr>
        <w:tblStyle w:val="4"/>
        <w:tblW w:w="9332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58"/>
        <w:gridCol w:w="917"/>
        <w:gridCol w:w="930"/>
        <w:gridCol w:w="857"/>
        <w:gridCol w:w="1546"/>
        <w:gridCol w:w="960"/>
        <w:gridCol w:w="978"/>
        <w:gridCol w:w="786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1" w:hRule="atLeast"/>
          <w:jc w:val="center"/>
        </w:trPr>
        <w:tc>
          <w:tcPr>
            <w:tcW w:w="9332" w:type="dxa"/>
            <w:gridSpan w:val="8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spacing w:line="600" w:lineRule="exact"/>
              <w:jc w:val="center"/>
              <w:textAlignment w:val="center"/>
              <w:rPr>
                <w:rFonts w:hint="default" w:eastAsia="宋体"/>
                <w:bCs/>
                <w:color w:val="000000"/>
                <w:sz w:val="44"/>
                <w:szCs w:val="44"/>
                <w:highlight w:val="none"/>
                <w:lang w:val="en-US" w:eastAsia="zh-CN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b w:val="0"/>
                <w:bCs w:val="0"/>
                <w:color w:val="000000"/>
                <w:sz w:val="44"/>
                <w:szCs w:val="44"/>
                <w:highlight w:val="none"/>
                <w:lang w:eastAsia="zh-CN"/>
              </w:rPr>
              <w:t>2025年</w:t>
            </w:r>
            <w:r>
              <w:rPr>
                <w:rFonts w:hint="eastAsia" w:ascii="方正小标宋简体" w:hAnsi="方正小标宋简体" w:eastAsia="方正小标宋简体" w:cs="方正小标宋简体"/>
                <w:b w:val="0"/>
                <w:bCs w:val="0"/>
                <w:color w:val="000000"/>
                <w:sz w:val="44"/>
                <w:szCs w:val="44"/>
                <w:highlight w:val="none"/>
              </w:rPr>
              <w:t>一般公共预算收支调整</w:t>
            </w:r>
            <w:r>
              <w:rPr>
                <w:rFonts w:hint="eastAsia" w:ascii="方正小标宋简体" w:hAnsi="方正小标宋简体" w:eastAsia="方正小标宋简体" w:cs="方正小标宋简体"/>
                <w:b w:val="0"/>
                <w:bCs w:val="0"/>
                <w:color w:val="000000"/>
                <w:sz w:val="44"/>
                <w:szCs w:val="44"/>
                <w:highlight w:val="none"/>
                <w:lang w:val="en-US" w:eastAsia="zh-CN"/>
              </w:rPr>
              <w:t>方案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  <w:jc w:val="center"/>
        </w:trPr>
        <w:tc>
          <w:tcPr>
            <w:tcW w:w="23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spacing w:line="600" w:lineRule="exact"/>
              <w:rPr>
                <w:rFonts w:eastAsia="黑体" w:cs="黑体"/>
                <w:color w:val="000000"/>
                <w:sz w:val="22"/>
                <w:szCs w:val="22"/>
                <w:highlight w:val="none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spacing w:line="600" w:lineRule="exact"/>
              <w:rPr>
                <w:rFonts w:eastAsia="黑体" w:cs="黑体"/>
                <w:color w:val="000000"/>
                <w:sz w:val="22"/>
                <w:szCs w:val="22"/>
                <w:highlight w:val="none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spacing w:line="600" w:lineRule="exact"/>
              <w:rPr>
                <w:rFonts w:eastAsia="黑体" w:cs="黑体"/>
                <w:color w:val="000000"/>
                <w:sz w:val="22"/>
                <w:szCs w:val="22"/>
                <w:highlight w:val="none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spacing w:line="600" w:lineRule="exact"/>
              <w:rPr>
                <w:color w:val="000000"/>
                <w:sz w:val="22"/>
                <w:szCs w:val="22"/>
                <w:highlight w:val="none"/>
              </w:rPr>
            </w:pPr>
          </w:p>
        </w:tc>
        <w:tc>
          <w:tcPr>
            <w:tcW w:w="427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spacing w:line="600" w:lineRule="exact"/>
              <w:jc w:val="right"/>
              <w:rPr>
                <w:color w:val="000000"/>
                <w:sz w:val="20"/>
                <w:szCs w:val="20"/>
                <w:highlight w:val="none"/>
              </w:rPr>
            </w:pPr>
            <w:r>
              <w:rPr>
                <w:rFonts w:hint="eastAsia"/>
                <w:color w:val="000000"/>
                <w:sz w:val="22"/>
                <w:szCs w:val="22"/>
                <w:highlight w:val="none"/>
              </w:rPr>
              <w:t xml:space="preserve"> </w:t>
            </w:r>
            <w:r>
              <w:rPr>
                <w:rFonts w:hint="eastAsia"/>
                <w:color w:val="000000"/>
                <w:sz w:val="20"/>
                <w:szCs w:val="20"/>
                <w:highlight w:val="none"/>
              </w:rPr>
              <w:t>单位：万元</w:t>
            </w:r>
          </w:p>
          <w:p>
            <w:pPr>
              <w:spacing w:line="20" w:lineRule="exact"/>
              <w:jc w:val="center"/>
              <w:textAlignment w:val="center"/>
              <w:rPr>
                <w:color w:val="000000"/>
                <w:sz w:val="22"/>
                <w:szCs w:val="22"/>
                <w:highlight w:val="none"/>
              </w:rPr>
            </w:pPr>
            <w:r>
              <w:rPr>
                <w:rFonts w:hint="eastAsia"/>
                <w:color w:val="000000"/>
                <w:sz w:val="22"/>
                <w:szCs w:val="22"/>
                <w:highlight w:val="none"/>
              </w:rPr>
              <w:t xml:space="preserve">        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2" w:hRule="atLeast"/>
          <w:jc w:val="center"/>
        </w:trPr>
        <w:tc>
          <w:tcPr>
            <w:tcW w:w="506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黑体" w:cs="黑体"/>
                <w:bCs/>
                <w:sz w:val="21"/>
                <w:szCs w:val="21"/>
                <w:highlight w:val="none"/>
              </w:rPr>
            </w:pPr>
            <w:r>
              <w:rPr>
                <w:rFonts w:hint="eastAsia" w:eastAsia="黑体" w:cs="黑体"/>
                <w:bCs/>
                <w:sz w:val="21"/>
                <w:szCs w:val="21"/>
                <w:highlight w:val="none"/>
              </w:rPr>
              <w:t>收</w:t>
            </w:r>
            <w:r>
              <w:rPr>
                <w:rFonts w:hint="eastAsia" w:eastAsia="黑体" w:cs="黑体"/>
                <w:bCs/>
                <w:sz w:val="21"/>
                <w:szCs w:val="21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eastAsia="黑体" w:cs="黑体"/>
                <w:bCs/>
                <w:sz w:val="21"/>
                <w:szCs w:val="21"/>
                <w:highlight w:val="none"/>
              </w:rPr>
              <w:t>入</w:t>
            </w:r>
          </w:p>
        </w:tc>
        <w:tc>
          <w:tcPr>
            <w:tcW w:w="4270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黑体" w:cs="黑体"/>
                <w:bCs/>
                <w:sz w:val="21"/>
                <w:szCs w:val="21"/>
                <w:highlight w:val="none"/>
              </w:rPr>
            </w:pPr>
            <w:r>
              <w:rPr>
                <w:rFonts w:hint="eastAsia" w:eastAsia="黑体" w:cs="黑体"/>
                <w:bCs/>
                <w:sz w:val="21"/>
                <w:szCs w:val="21"/>
                <w:highlight w:val="none"/>
              </w:rPr>
              <w:t>支</w:t>
            </w:r>
            <w:r>
              <w:rPr>
                <w:rFonts w:hint="eastAsia" w:eastAsia="黑体" w:cs="黑体"/>
                <w:bCs/>
                <w:sz w:val="21"/>
                <w:szCs w:val="21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eastAsia="黑体" w:cs="黑体"/>
                <w:bCs/>
                <w:sz w:val="21"/>
                <w:szCs w:val="21"/>
                <w:highlight w:val="none"/>
              </w:rPr>
              <w:t>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9" w:hRule="atLeast"/>
          <w:jc w:val="center"/>
        </w:trPr>
        <w:tc>
          <w:tcPr>
            <w:tcW w:w="235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b/>
                <w:sz w:val="21"/>
                <w:szCs w:val="21"/>
                <w:highlight w:val="none"/>
              </w:rPr>
            </w:pPr>
            <w:r>
              <w:rPr>
                <w:rFonts w:hint="eastAsia"/>
                <w:b/>
                <w:sz w:val="21"/>
                <w:szCs w:val="21"/>
                <w:highlight w:val="none"/>
              </w:rPr>
              <w:t>项  目</w:t>
            </w:r>
          </w:p>
        </w:tc>
        <w:tc>
          <w:tcPr>
            <w:tcW w:w="9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b/>
                <w:sz w:val="21"/>
                <w:szCs w:val="21"/>
                <w:highlight w:val="none"/>
              </w:rPr>
            </w:pPr>
            <w:r>
              <w:rPr>
                <w:rFonts w:hint="eastAsia"/>
                <w:b/>
                <w:sz w:val="21"/>
                <w:szCs w:val="21"/>
                <w:highlight w:val="none"/>
              </w:rPr>
              <w:t>年  初</w:t>
            </w:r>
          </w:p>
          <w:p>
            <w:pPr>
              <w:jc w:val="center"/>
              <w:textAlignment w:val="center"/>
              <w:rPr>
                <w:b/>
                <w:sz w:val="21"/>
                <w:szCs w:val="21"/>
                <w:highlight w:val="none"/>
              </w:rPr>
            </w:pPr>
            <w:r>
              <w:rPr>
                <w:rFonts w:hint="eastAsia"/>
                <w:b/>
                <w:sz w:val="21"/>
                <w:szCs w:val="21"/>
                <w:highlight w:val="none"/>
              </w:rPr>
              <w:t>预算数</w:t>
            </w:r>
          </w:p>
        </w:tc>
        <w:tc>
          <w:tcPr>
            <w:tcW w:w="9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b/>
                <w:sz w:val="21"/>
                <w:szCs w:val="21"/>
                <w:highlight w:val="none"/>
              </w:rPr>
            </w:pPr>
            <w:r>
              <w:rPr>
                <w:rFonts w:hint="eastAsia"/>
                <w:b/>
                <w:sz w:val="21"/>
                <w:szCs w:val="21"/>
                <w:highlight w:val="none"/>
              </w:rPr>
              <w:t>调增（+）调减（-）</w:t>
            </w:r>
          </w:p>
        </w:tc>
        <w:tc>
          <w:tcPr>
            <w:tcW w:w="8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b/>
                <w:sz w:val="21"/>
                <w:szCs w:val="21"/>
                <w:highlight w:val="none"/>
              </w:rPr>
            </w:pPr>
            <w:r>
              <w:rPr>
                <w:rFonts w:hint="eastAsia"/>
                <w:b/>
                <w:sz w:val="21"/>
                <w:szCs w:val="21"/>
                <w:highlight w:val="none"/>
              </w:rPr>
              <w:t>调  整</w:t>
            </w:r>
          </w:p>
          <w:p>
            <w:pPr>
              <w:jc w:val="center"/>
              <w:textAlignment w:val="center"/>
              <w:rPr>
                <w:b/>
                <w:bCs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/>
                <w:b/>
                <w:sz w:val="21"/>
                <w:szCs w:val="21"/>
                <w:highlight w:val="none"/>
              </w:rPr>
              <w:t>预算数</w:t>
            </w:r>
          </w:p>
        </w:tc>
        <w:tc>
          <w:tcPr>
            <w:tcW w:w="154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b/>
                <w:sz w:val="21"/>
                <w:szCs w:val="21"/>
                <w:highlight w:val="none"/>
              </w:rPr>
            </w:pPr>
            <w:r>
              <w:rPr>
                <w:rFonts w:hint="eastAsia"/>
                <w:b/>
                <w:sz w:val="21"/>
                <w:szCs w:val="21"/>
                <w:highlight w:val="none"/>
              </w:rPr>
              <w:t>项  目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b/>
                <w:sz w:val="21"/>
                <w:szCs w:val="21"/>
                <w:highlight w:val="none"/>
              </w:rPr>
            </w:pPr>
            <w:r>
              <w:rPr>
                <w:rFonts w:hint="eastAsia"/>
                <w:b/>
                <w:sz w:val="21"/>
                <w:szCs w:val="21"/>
                <w:highlight w:val="none"/>
              </w:rPr>
              <w:t>年  初</w:t>
            </w:r>
          </w:p>
          <w:p>
            <w:pPr>
              <w:jc w:val="center"/>
              <w:textAlignment w:val="center"/>
              <w:rPr>
                <w:b/>
                <w:sz w:val="21"/>
                <w:szCs w:val="21"/>
                <w:highlight w:val="none"/>
              </w:rPr>
            </w:pPr>
            <w:r>
              <w:rPr>
                <w:rFonts w:hint="eastAsia"/>
                <w:b/>
                <w:sz w:val="21"/>
                <w:szCs w:val="21"/>
                <w:highlight w:val="none"/>
              </w:rPr>
              <w:t>预算数</w:t>
            </w:r>
          </w:p>
        </w:tc>
        <w:tc>
          <w:tcPr>
            <w:tcW w:w="9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b/>
                <w:bCs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/>
                <w:b/>
                <w:sz w:val="21"/>
                <w:szCs w:val="21"/>
                <w:highlight w:val="none"/>
              </w:rPr>
              <w:t>调增（+）调减（-）</w:t>
            </w:r>
          </w:p>
        </w:tc>
        <w:tc>
          <w:tcPr>
            <w:tcW w:w="7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b/>
                <w:sz w:val="21"/>
                <w:szCs w:val="21"/>
                <w:highlight w:val="none"/>
              </w:rPr>
            </w:pPr>
            <w:r>
              <w:rPr>
                <w:rFonts w:hint="eastAsia"/>
                <w:b/>
                <w:sz w:val="21"/>
                <w:szCs w:val="21"/>
                <w:highlight w:val="none"/>
              </w:rPr>
              <w:t>调  整</w:t>
            </w:r>
          </w:p>
          <w:p>
            <w:pPr>
              <w:jc w:val="center"/>
              <w:textAlignment w:val="center"/>
              <w:rPr>
                <w:b/>
                <w:bCs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/>
                <w:b/>
                <w:sz w:val="21"/>
                <w:szCs w:val="21"/>
                <w:highlight w:val="none"/>
              </w:rPr>
              <w:t>预算数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235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both"/>
              <w:textAlignment w:val="center"/>
              <w:rPr>
                <w:b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/>
                <w:b/>
                <w:color w:val="auto"/>
                <w:sz w:val="21"/>
                <w:szCs w:val="21"/>
                <w:highlight w:val="none"/>
              </w:rPr>
              <w:t>本级收入</w:t>
            </w:r>
          </w:p>
        </w:tc>
        <w:tc>
          <w:tcPr>
            <w:tcW w:w="9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hint="eastAsia" w:eastAsia="宋体"/>
                <w:b/>
                <w:color w:val="auto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/>
                <w:b/>
                <w:color w:val="auto"/>
                <w:sz w:val="21"/>
                <w:szCs w:val="21"/>
                <w:highlight w:val="none"/>
                <w:lang w:val="en-US" w:eastAsia="zh-CN"/>
              </w:rPr>
              <w:t>192680</w:t>
            </w:r>
          </w:p>
        </w:tc>
        <w:tc>
          <w:tcPr>
            <w:tcW w:w="9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hint="default" w:eastAsia="宋体"/>
                <w:b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/>
                <w:b/>
                <w:color w:val="auto"/>
                <w:sz w:val="21"/>
                <w:szCs w:val="21"/>
                <w:highlight w:val="none"/>
                <w:lang w:val="en-US" w:eastAsia="zh-CN"/>
              </w:rPr>
              <w:t>-10340</w:t>
            </w:r>
          </w:p>
        </w:tc>
        <w:tc>
          <w:tcPr>
            <w:tcW w:w="8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hint="default"/>
                <w:b/>
                <w:color w:val="auto"/>
                <w:sz w:val="21"/>
                <w:szCs w:val="21"/>
                <w:highlight w:val="none"/>
                <w:lang w:val="en-US"/>
              </w:rPr>
            </w:pPr>
            <w:r>
              <w:rPr>
                <w:rFonts w:hint="eastAsia"/>
                <w:b/>
                <w:color w:val="auto"/>
                <w:sz w:val="21"/>
                <w:szCs w:val="21"/>
                <w:highlight w:val="none"/>
                <w:lang w:val="en-US" w:eastAsia="zh-CN"/>
              </w:rPr>
              <w:t>182340</w:t>
            </w:r>
          </w:p>
        </w:tc>
        <w:tc>
          <w:tcPr>
            <w:tcW w:w="154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both"/>
              <w:textAlignment w:val="center"/>
              <w:rPr>
                <w:b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/>
                <w:b/>
                <w:color w:val="auto"/>
                <w:sz w:val="21"/>
                <w:szCs w:val="21"/>
                <w:highlight w:val="none"/>
              </w:rPr>
              <w:t>本级支出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hint="default" w:eastAsia="宋体"/>
                <w:b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/>
                <w:b/>
                <w:color w:val="auto"/>
                <w:sz w:val="21"/>
                <w:szCs w:val="21"/>
                <w:highlight w:val="none"/>
                <w:lang w:val="en-US" w:eastAsia="zh-CN"/>
              </w:rPr>
              <w:t>359716</w:t>
            </w:r>
          </w:p>
        </w:tc>
        <w:tc>
          <w:tcPr>
            <w:tcW w:w="9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hint="default" w:ascii="宋体" w:hAnsi="宋体" w:eastAsia="宋体" w:cs="宋体"/>
                <w:b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/>
                <w:b/>
                <w:color w:val="auto"/>
                <w:sz w:val="21"/>
                <w:szCs w:val="21"/>
                <w:highlight w:val="none"/>
                <w:lang w:val="en-US" w:eastAsia="zh-CN"/>
              </w:rPr>
              <w:t>15429</w:t>
            </w:r>
          </w:p>
        </w:tc>
        <w:tc>
          <w:tcPr>
            <w:tcW w:w="7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hint="default" w:ascii="宋体" w:hAnsi="宋体" w:eastAsia="宋体" w:cs="宋体"/>
                <w:b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/>
                <w:b/>
                <w:color w:val="auto"/>
                <w:sz w:val="21"/>
                <w:szCs w:val="21"/>
                <w:highlight w:val="none"/>
                <w:lang w:val="en-US" w:eastAsia="zh-CN"/>
              </w:rPr>
              <w:t>375145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235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both"/>
              <w:textAlignment w:val="center"/>
              <w:rPr>
                <w:b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/>
                <w:b/>
                <w:color w:val="auto"/>
                <w:sz w:val="21"/>
                <w:szCs w:val="21"/>
                <w:highlight w:val="none"/>
              </w:rPr>
              <w:t>转移性收入</w:t>
            </w:r>
          </w:p>
        </w:tc>
        <w:tc>
          <w:tcPr>
            <w:tcW w:w="9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hint="default" w:eastAsia="宋体"/>
                <w:b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/>
                <w:b/>
                <w:color w:val="auto"/>
                <w:sz w:val="21"/>
                <w:szCs w:val="21"/>
                <w:highlight w:val="none"/>
                <w:lang w:val="en-US" w:eastAsia="zh-CN"/>
              </w:rPr>
              <w:t>171733</w:t>
            </w:r>
          </w:p>
        </w:tc>
        <w:tc>
          <w:tcPr>
            <w:tcW w:w="9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hint="default" w:ascii="宋体" w:hAnsi="宋体" w:eastAsia="宋体" w:cs="宋体"/>
                <w:b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/>
                <w:b/>
                <w:color w:val="auto"/>
                <w:sz w:val="21"/>
                <w:szCs w:val="21"/>
                <w:highlight w:val="none"/>
                <w:lang w:val="en-US" w:eastAsia="zh-CN"/>
              </w:rPr>
              <w:t>27200</w:t>
            </w:r>
          </w:p>
        </w:tc>
        <w:tc>
          <w:tcPr>
            <w:tcW w:w="8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hint="default" w:ascii="宋体" w:hAnsi="宋体" w:eastAsia="宋体" w:cs="宋体"/>
                <w:b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/>
                <w:b/>
                <w:bCs/>
                <w:color w:val="auto"/>
                <w:sz w:val="21"/>
                <w:szCs w:val="21"/>
                <w:highlight w:val="none"/>
                <w:lang w:val="en-US" w:eastAsia="zh-CN"/>
              </w:rPr>
              <w:t>198933</w:t>
            </w:r>
          </w:p>
        </w:tc>
        <w:tc>
          <w:tcPr>
            <w:tcW w:w="154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both"/>
              <w:textAlignment w:val="center"/>
              <w:rPr>
                <w:b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/>
                <w:b/>
                <w:color w:val="auto"/>
                <w:sz w:val="21"/>
                <w:szCs w:val="21"/>
                <w:highlight w:val="none"/>
              </w:rPr>
              <w:t>转移性支出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hint="default" w:eastAsia="宋体"/>
                <w:b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/>
                <w:b/>
                <w:color w:val="auto"/>
                <w:sz w:val="21"/>
                <w:szCs w:val="21"/>
                <w:highlight w:val="none"/>
                <w:lang w:val="en-US" w:eastAsia="zh-CN"/>
              </w:rPr>
              <w:t>4697</w:t>
            </w:r>
          </w:p>
        </w:tc>
        <w:tc>
          <w:tcPr>
            <w:tcW w:w="9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eastAsia="宋体"/>
                <w:b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/>
                <w:b/>
                <w:color w:val="auto"/>
                <w:sz w:val="21"/>
                <w:szCs w:val="21"/>
                <w:highlight w:val="none"/>
                <w:lang w:val="en-US" w:eastAsia="zh-CN"/>
              </w:rPr>
              <w:t>1431</w:t>
            </w:r>
          </w:p>
        </w:tc>
        <w:tc>
          <w:tcPr>
            <w:tcW w:w="7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hint="default" w:eastAsia="宋体"/>
                <w:b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/>
                <w:b/>
                <w:color w:val="auto"/>
                <w:sz w:val="21"/>
                <w:szCs w:val="21"/>
                <w:highlight w:val="none"/>
                <w:lang w:val="en-US" w:eastAsia="zh-CN"/>
              </w:rPr>
              <w:t>6128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235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both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  <w:t xml:space="preserve">  </w:t>
            </w:r>
            <w:r>
              <w:rPr>
                <w:rFonts w:hint="eastAsia"/>
                <w:color w:val="auto"/>
                <w:sz w:val="21"/>
                <w:szCs w:val="21"/>
                <w:highlight w:val="none"/>
              </w:rPr>
              <w:t>上级补助收入</w:t>
            </w:r>
          </w:p>
        </w:tc>
        <w:tc>
          <w:tcPr>
            <w:tcW w:w="9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hint="default" w:eastAsia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  <w:t>137597</w:t>
            </w:r>
          </w:p>
        </w:tc>
        <w:tc>
          <w:tcPr>
            <w:tcW w:w="9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hint="default" w:eastAsia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  <w:t>5410</w:t>
            </w:r>
          </w:p>
        </w:tc>
        <w:tc>
          <w:tcPr>
            <w:tcW w:w="8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hint="default" w:eastAsia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  <w:t>143007</w:t>
            </w:r>
          </w:p>
        </w:tc>
        <w:tc>
          <w:tcPr>
            <w:tcW w:w="154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both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  <w:t xml:space="preserve">  </w:t>
            </w:r>
            <w:r>
              <w:rPr>
                <w:rFonts w:hint="eastAsia"/>
                <w:color w:val="auto"/>
                <w:sz w:val="21"/>
                <w:szCs w:val="21"/>
                <w:highlight w:val="none"/>
              </w:rPr>
              <w:t>上解支出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hint="default" w:eastAsia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  <w:t>1270</w:t>
            </w:r>
          </w:p>
        </w:tc>
        <w:tc>
          <w:tcPr>
            <w:tcW w:w="9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eastAsia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  <w:t>31</w:t>
            </w:r>
          </w:p>
        </w:tc>
        <w:tc>
          <w:tcPr>
            <w:tcW w:w="7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hint="default" w:eastAsia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  <w:t>1301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235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both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  <w:t xml:space="preserve">    </w:t>
            </w:r>
            <w:r>
              <w:rPr>
                <w:rFonts w:hint="eastAsia"/>
                <w:color w:val="auto"/>
                <w:sz w:val="21"/>
                <w:szCs w:val="21"/>
                <w:highlight w:val="none"/>
              </w:rPr>
              <w:t>返还性收入</w:t>
            </w:r>
          </w:p>
        </w:tc>
        <w:tc>
          <w:tcPr>
            <w:tcW w:w="9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</w:rPr>
              <w:t>12498</w:t>
            </w:r>
          </w:p>
        </w:tc>
        <w:tc>
          <w:tcPr>
            <w:tcW w:w="9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</w:rPr>
              <w:t>12498</w:t>
            </w:r>
          </w:p>
        </w:tc>
        <w:tc>
          <w:tcPr>
            <w:tcW w:w="154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both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  <w:t xml:space="preserve">    </w:t>
            </w:r>
            <w:r>
              <w:rPr>
                <w:rFonts w:hint="eastAsia"/>
                <w:color w:val="auto"/>
                <w:sz w:val="21"/>
                <w:szCs w:val="21"/>
                <w:highlight w:val="none"/>
              </w:rPr>
              <w:t>体制上解支出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</w:rPr>
              <w:t>90</w:t>
            </w:r>
          </w:p>
        </w:tc>
        <w:tc>
          <w:tcPr>
            <w:tcW w:w="9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7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</w:rPr>
              <w:t>90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235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both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  <w:t xml:space="preserve">    </w:t>
            </w:r>
            <w:r>
              <w:rPr>
                <w:rFonts w:hint="eastAsia"/>
                <w:color w:val="auto"/>
                <w:sz w:val="21"/>
                <w:szCs w:val="21"/>
                <w:highlight w:val="none"/>
              </w:rPr>
              <w:t>一般性转移支付收入</w:t>
            </w:r>
          </w:p>
        </w:tc>
        <w:tc>
          <w:tcPr>
            <w:tcW w:w="9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hint="default" w:eastAsia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  <w:t>120481</w:t>
            </w:r>
          </w:p>
        </w:tc>
        <w:tc>
          <w:tcPr>
            <w:tcW w:w="9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hint="default" w:eastAsia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  <w:t>5410</w:t>
            </w:r>
          </w:p>
        </w:tc>
        <w:tc>
          <w:tcPr>
            <w:tcW w:w="8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hint="default" w:eastAsia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  <w:t>125891</w:t>
            </w:r>
          </w:p>
        </w:tc>
        <w:tc>
          <w:tcPr>
            <w:tcW w:w="154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both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  <w:t xml:space="preserve">    </w:t>
            </w:r>
            <w:r>
              <w:rPr>
                <w:rFonts w:hint="eastAsia"/>
                <w:color w:val="auto"/>
                <w:sz w:val="21"/>
                <w:szCs w:val="21"/>
                <w:highlight w:val="none"/>
              </w:rPr>
              <w:t>专项上解支出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hint="default" w:eastAsia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  <w:t>1180</w:t>
            </w:r>
          </w:p>
        </w:tc>
        <w:tc>
          <w:tcPr>
            <w:tcW w:w="9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eastAsia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  <w:t>31</w:t>
            </w:r>
          </w:p>
        </w:tc>
        <w:tc>
          <w:tcPr>
            <w:tcW w:w="7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hint="default" w:eastAsia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  <w:t>1211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8" w:hRule="atLeast"/>
          <w:jc w:val="center"/>
        </w:trPr>
        <w:tc>
          <w:tcPr>
            <w:tcW w:w="235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both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  <w:t xml:space="preserve">    </w:t>
            </w:r>
            <w:r>
              <w:rPr>
                <w:rFonts w:hint="eastAsia"/>
                <w:color w:val="auto"/>
                <w:sz w:val="21"/>
                <w:szCs w:val="21"/>
                <w:highlight w:val="none"/>
              </w:rPr>
              <w:t>专项转移支付收入</w:t>
            </w:r>
          </w:p>
        </w:tc>
        <w:tc>
          <w:tcPr>
            <w:tcW w:w="9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hint="default" w:eastAsia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  <w:t>4618</w:t>
            </w:r>
          </w:p>
        </w:tc>
        <w:tc>
          <w:tcPr>
            <w:tcW w:w="9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hint="default" w:eastAsia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  <w:t>4618</w:t>
            </w:r>
          </w:p>
        </w:tc>
        <w:tc>
          <w:tcPr>
            <w:tcW w:w="1546" w:type="dxa"/>
            <w:tcBorders>
              <w:top w:val="nil"/>
              <w:left w:val="nil"/>
              <w:bottom w:val="nil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both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7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4" w:hRule="atLeast"/>
          <w:jc w:val="center"/>
        </w:trPr>
        <w:tc>
          <w:tcPr>
            <w:tcW w:w="235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both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  <w:t xml:space="preserve">  </w:t>
            </w:r>
            <w:r>
              <w:rPr>
                <w:rFonts w:hint="eastAsia"/>
                <w:color w:val="auto"/>
                <w:sz w:val="21"/>
                <w:szCs w:val="21"/>
                <w:highlight w:val="none"/>
              </w:rPr>
              <w:t>上年结余收入</w:t>
            </w:r>
          </w:p>
        </w:tc>
        <w:tc>
          <w:tcPr>
            <w:tcW w:w="9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hint="default" w:eastAsia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  <w:t>24102</w:t>
            </w:r>
          </w:p>
        </w:tc>
        <w:tc>
          <w:tcPr>
            <w:tcW w:w="9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  <w:t>24102</w:t>
            </w:r>
          </w:p>
        </w:tc>
        <w:tc>
          <w:tcPr>
            <w:tcW w:w="1546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both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b/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b/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7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2" w:hRule="atLeast"/>
          <w:jc w:val="center"/>
        </w:trPr>
        <w:tc>
          <w:tcPr>
            <w:tcW w:w="235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both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  <w:t xml:space="preserve">  </w:t>
            </w:r>
            <w:r>
              <w:rPr>
                <w:rFonts w:hint="eastAsia"/>
                <w:color w:val="auto"/>
                <w:sz w:val="21"/>
                <w:szCs w:val="21"/>
                <w:highlight w:val="none"/>
              </w:rPr>
              <w:t>调入资金</w:t>
            </w:r>
          </w:p>
        </w:tc>
        <w:tc>
          <w:tcPr>
            <w:tcW w:w="9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hint="default" w:eastAsia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  <w:t>62</w:t>
            </w:r>
          </w:p>
        </w:tc>
        <w:tc>
          <w:tcPr>
            <w:tcW w:w="9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  <w:t>62</w:t>
            </w:r>
          </w:p>
        </w:tc>
        <w:tc>
          <w:tcPr>
            <w:tcW w:w="154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both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7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235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both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  <w:t xml:space="preserve">    </w:t>
            </w:r>
            <w:r>
              <w:rPr>
                <w:rFonts w:hint="eastAsia"/>
                <w:color w:val="auto"/>
                <w:sz w:val="21"/>
                <w:szCs w:val="21"/>
                <w:highlight w:val="none"/>
              </w:rPr>
              <w:t>从政府性基金预算调入</w:t>
            </w:r>
          </w:p>
        </w:tc>
        <w:tc>
          <w:tcPr>
            <w:tcW w:w="9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</w:p>
        </w:tc>
        <w:tc>
          <w:tcPr>
            <w:tcW w:w="154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both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  <w:t xml:space="preserve">  </w:t>
            </w:r>
            <w:r>
              <w:rPr>
                <w:rFonts w:hint="eastAsia"/>
                <w:color w:val="auto"/>
                <w:sz w:val="21"/>
                <w:szCs w:val="21"/>
                <w:highlight w:val="none"/>
              </w:rPr>
              <w:t>调出资金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7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235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both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  <w:t xml:space="preserve">    </w:t>
            </w:r>
            <w:r>
              <w:rPr>
                <w:rFonts w:hint="eastAsia"/>
                <w:color w:val="auto"/>
                <w:sz w:val="21"/>
                <w:szCs w:val="21"/>
                <w:highlight w:val="none"/>
              </w:rPr>
              <w:t>从国有资本经营预算调入</w:t>
            </w:r>
          </w:p>
        </w:tc>
        <w:tc>
          <w:tcPr>
            <w:tcW w:w="9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hint="default" w:eastAsia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  <w:t>62</w:t>
            </w:r>
          </w:p>
        </w:tc>
        <w:tc>
          <w:tcPr>
            <w:tcW w:w="9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  <w:t>62</w:t>
            </w:r>
          </w:p>
        </w:tc>
        <w:tc>
          <w:tcPr>
            <w:tcW w:w="154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both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  <w:t xml:space="preserve">  </w:t>
            </w:r>
            <w:r>
              <w:rPr>
                <w:rFonts w:hint="eastAsia"/>
                <w:color w:val="auto"/>
                <w:sz w:val="21"/>
                <w:szCs w:val="21"/>
                <w:highlight w:val="none"/>
              </w:rPr>
              <w:t>年终结余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7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235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both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  <w:t xml:space="preserve">    </w:t>
            </w:r>
            <w:r>
              <w:rPr>
                <w:rFonts w:hint="eastAsia"/>
                <w:color w:val="auto"/>
                <w:sz w:val="21"/>
                <w:szCs w:val="21"/>
                <w:highlight w:val="none"/>
              </w:rPr>
              <w:t>从其他资金调入</w:t>
            </w:r>
          </w:p>
        </w:tc>
        <w:tc>
          <w:tcPr>
            <w:tcW w:w="9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154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both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  <w:t xml:space="preserve">  </w:t>
            </w:r>
            <w:r>
              <w:rPr>
                <w:rFonts w:hint="eastAsia"/>
                <w:color w:val="auto"/>
                <w:sz w:val="21"/>
                <w:szCs w:val="21"/>
                <w:highlight w:val="none"/>
              </w:rPr>
              <w:t>地方政府一般债务还本支出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hint="default" w:eastAsia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  <w:t>3427</w:t>
            </w:r>
          </w:p>
        </w:tc>
        <w:tc>
          <w:tcPr>
            <w:tcW w:w="9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eastAsia="宋体"/>
                <w:color w:val="auto"/>
                <w:sz w:val="21"/>
                <w:szCs w:val="21"/>
                <w:highlight w:val="yellow"/>
                <w:lang w:val="en-US" w:eastAsia="zh-CN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  <w:t>1400</w:t>
            </w:r>
          </w:p>
        </w:tc>
        <w:tc>
          <w:tcPr>
            <w:tcW w:w="7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hint="default"/>
                <w:color w:val="auto"/>
                <w:sz w:val="21"/>
                <w:szCs w:val="21"/>
                <w:highlight w:val="yellow"/>
                <w:lang w:val="en-US" w:eastAsia="zh-CN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  <w:t>4827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235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both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  <w:t xml:space="preserve">  </w:t>
            </w:r>
            <w:r>
              <w:rPr>
                <w:rFonts w:hint="eastAsia"/>
                <w:color w:val="auto"/>
                <w:sz w:val="21"/>
                <w:szCs w:val="21"/>
                <w:highlight w:val="none"/>
              </w:rPr>
              <w:t>地方政府一般债务收入</w:t>
            </w:r>
          </w:p>
        </w:tc>
        <w:tc>
          <w:tcPr>
            <w:tcW w:w="9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154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both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  <w:t xml:space="preserve">  </w:t>
            </w:r>
            <w:r>
              <w:rPr>
                <w:rFonts w:hint="eastAsia"/>
                <w:color w:val="auto"/>
                <w:sz w:val="21"/>
                <w:szCs w:val="21"/>
                <w:highlight w:val="none"/>
              </w:rPr>
              <w:t>地方政府一般债务转贷支出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7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235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both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  <w:t xml:space="preserve">  </w:t>
            </w:r>
            <w:r>
              <w:rPr>
                <w:rFonts w:hint="eastAsia"/>
                <w:color w:val="auto"/>
                <w:sz w:val="21"/>
                <w:szCs w:val="21"/>
                <w:highlight w:val="none"/>
              </w:rPr>
              <w:t>地方政府一般债务转贷收入</w:t>
            </w:r>
          </w:p>
        </w:tc>
        <w:tc>
          <w:tcPr>
            <w:tcW w:w="9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  <w:t>3000</w:t>
            </w:r>
          </w:p>
        </w:tc>
        <w:tc>
          <w:tcPr>
            <w:tcW w:w="9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  <w:t>11700</w:t>
            </w:r>
          </w:p>
        </w:tc>
        <w:tc>
          <w:tcPr>
            <w:tcW w:w="8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  <w:t>14700</w:t>
            </w:r>
          </w:p>
        </w:tc>
        <w:tc>
          <w:tcPr>
            <w:tcW w:w="154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both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  <w:t xml:space="preserve">  </w:t>
            </w:r>
            <w:r>
              <w:rPr>
                <w:rFonts w:hint="eastAsia"/>
                <w:color w:val="auto"/>
                <w:sz w:val="21"/>
                <w:szCs w:val="21"/>
                <w:highlight w:val="none"/>
              </w:rPr>
              <w:t>援助其他地区支出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7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235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both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  <w:t xml:space="preserve">  </w:t>
            </w:r>
            <w:r>
              <w:rPr>
                <w:rFonts w:hint="eastAsia"/>
                <w:color w:val="auto"/>
                <w:sz w:val="21"/>
                <w:szCs w:val="21"/>
                <w:highlight w:val="none"/>
              </w:rPr>
              <w:t>接受其他地区援助收入</w:t>
            </w:r>
          </w:p>
        </w:tc>
        <w:tc>
          <w:tcPr>
            <w:tcW w:w="9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154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both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  <w:t xml:space="preserve">  </w:t>
            </w:r>
            <w:r>
              <w:rPr>
                <w:rFonts w:hint="eastAsia"/>
                <w:color w:val="auto"/>
                <w:sz w:val="21"/>
                <w:szCs w:val="21"/>
                <w:highlight w:val="none"/>
              </w:rPr>
              <w:t>安排预算稳定调节基金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7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235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both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  <w:t xml:space="preserve">  </w:t>
            </w:r>
            <w:r>
              <w:rPr>
                <w:rFonts w:hint="eastAsia"/>
                <w:color w:val="auto"/>
                <w:sz w:val="21"/>
                <w:szCs w:val="21"/>
                <w:highlight w:val="none"/>
              </w:rPr>
              <w:t>动用预算稳定调节基金</w:t>
            </w:r>
          </w:p>
        </w:tc>
        <w:tc>
          <w:tcPr>
            <w:tcW w:w="9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hint="default" w:eastAsia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  <w:t>6972</w:t>
            </w:r>
          </w:p>
        </w:tc>
        <w:tc>
          <w:tcPr>
            <w:tcW w:w="9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hint="default" w:eastAsia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  <w:t>10090</w:t>
            </w:r>
          </w:p>
        </w:tc>
        <w:tc>
          <w:tcPr>
            <w:tcW w:w="8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hint="default" w:eastAsia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  <w:t>17062</w:t>
            </w:r>
          </w:p>
        </w:tc>
        <w:tc>
          <w:tcPr>
            <w:tcW w:w="154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both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  <w:t xml:space="preserve">  </w:t>
            </w:r>
            <w:r>
              <w:rPr>
                <w:rFonts w:hint="eastAsia"/>
                <w:color w:val="auto"/>
                <w:sz w:val="21"/>
                <w:szCs w:val="21"/>
                <w:highlight w:val="none"/>
              </w:rPr>
              <w:t>补充预算周转金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7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235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b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/>
                <w:b/>
                <w:color w:val="auto"/>
                <w:sz w:val="21"/>
                <w:szCs w:val="21"/>
                <w:highlight w:val="none"/>
              </w:rPr>
              <w:t>收入总计</w:t>
            </w:r>
          </w:p>
        </w:tc>
        <w:tc>
          <w:tcPr>
            <w:tcW w:w="9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hint="default" w:eastAsia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/>
                <w:b/>
                <w:color w:val="auto"/>
                <w:sz w:val="21"/>
                <w:szCs w:val="21"/>
                <w:highlight w:val="none"/>
                <w:lang w:val="en-US" w:eastAsia="zh-CN"/>
              </w:rPr>
              <w:t>364413</w:t>
            </w:r>
          </w:p>
        </w:tc>
        <w:tc>
          <w:tcPr>
            <w:tcW w:w="9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/>
                <w:b/>
                <w:bCs/>
                <w:color w:val="auto"/>
                <w:sz w:val="21"/>
                <w:szCs w:val="21"/>
                <w:highlight w:val="none"/>
                <w:lang w:val="en-US" w:eastAsia="zh-CN"/>
              </w:rPr>
              <w:t>16860</w:t>
            </w:r>
          </w:p>
        </w:tc>
        <w:tc>
          <w:tcPr>
            <w:tcW w:w="8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/>
                <w:b/>
                <w:bCs/>
                <w:color w:val="auto"/>
                <w:sz w:val="21"/>
                <w:szCs w:val="21"/>
                <w:highlight w:val="none"/>
                <w:lang w:val="en-US" w:eastAsia="zh-CN"/>
              </w:rPr>
              <w:t>381273</w:t>
            </w:r>
          </w:p>
        </w:tc>
        <w:tc>
          <w:tcPr>
            <w:tcW w:w="154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b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/>
                <w:b/>
                <w:color w:val="auto"/>
                <w:sz w:val="21"/>
                <w:szCs w:val="21"/>
                <w:highlight w:val="none"/>
              </w:rPr>
              <w:t>支出总计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hint="default" w:eastAsia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/>
                <w:b/>
                <w:color w:val="auto"/>
                <w:sz w:val="21"/>
                <w:szCs w:val="21"/>
                <w:highlight w:val="none"/>
                <w:lang w:val="en-US" w:eastAsia="zh-CN"/>
              </w:rPr>
              <w:t>364413</w:t>
            </w:r>
          </w:p>
        </w:tc>
        <w:tc>
          <w:tcPr>
            <w:tcW w:w="9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/>
                <w:b/>
                <w:bCs/>
                <w:color w:val="auto"/>
                <w:sz w:val="21"/>
                <w:szCs w:val="21"/>
                <w:highlight w:val="none"/>
                <w:lang w:val="en-US" w:eastAsia="zh-CN"/>
              </w:rPr>
              <w:t>16860</w:t>
            </w:r>
          </w:p>
        </w:tc>
        <w:tc>
          <w:tcPr>
            <w:tcW w:w="7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/>
                <w:b/>
                <w:bCs/>
                <w:color w:val="auto"/>
                <w:sz w:val="21"/>
                <w:szCs w:val="21"/>
                <w:highlight w:val="none"/>
                <w:lang w:val="en-US" w:eastAsia="zh-CN"/>
              </w:rPr>
              <w:t>381273</w:t>
            </w:r>
          </w:p>
        </w:tc>
      </w:tr>
    </w:tbl>
    <w:p>
      <w:pPr>
        <w:widowControl w:val="0"/>
        <w:snapToGrid w:val="0"/>
        <w:jc w:val="both"/>
        <w:sectPr>
          <w:footerReference r:id="rId5" w:type="default"/>
          <w:pgSz w:w="11906" w:h="16838"/>
          <w:pgMar w:top="2098" w:right="1531" w:bottom="1531" w:left="1531" w:header="851" w:footer="992" w:gutter="0"/>
          <w:pgNumType w:fmt="numberInDash"/>
          <w:cols w:space="720" w:num="1"/>
          <w:docGrid w:type="lines" w:linePitch="340" w:charSpace="0"/>
        </w:sectPr>
      </w:pPr>
    </w:p>
    <w:p>
      <w:pPr>
        <w:widowControl w:val="0"/>
        <w:snapToGrid w:val="0"/>
        <w:jc w:val="both"/>
        <w:rPr>
          <w:rFonts w:eastAsia="黑体" w:cs="黑体"/>
          <w:color w:val="auto"/>
          <w:sz w:val="32"/>
          <w:szCs w:val="32"/>
          <w:highlight w:val="none"/>
        </w:rPr>
      </w:pPr>
      <w:r>
        <w:rPr>
          <w:rFonts w:hint="eastAsia" w:eastAsia="黑体" w:cs="黑体"/>
          <w:color w:val="auto"/>
          <w:sz w:val="32"/>
          <w:szCs w:val="32"/>
          <w:highlight w:val="none"/>
        </w:rPr>
        <w:t>附件2</w:t>
      </w:r>
    </w:p>
    <w:tbl>
      <w:tblPr>
        <w:tblStyle w:val="4"/>
        <w:tblW w:w="8944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44"/>
        <w:gridCol w:w="322"/>
        <w:gridCol w:w="1272"/>
        <w:gridCol w:w="333"/>
        <w:gridCol w:w="1135"/>
        <w:gridCol w:w="269"/>
        <w:gridCol w:w="1569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6" w:hRule="atLeast"/>
          <w:jc w:val="center"/>
        </w:trPr>
        <w:tc>
          <w:tcPr>
            <w:tcW w:w="8944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600" w:lineRule="exact"/>
              <w:jc w:val="center"/>
              <w:textAlignment w:val="center"/>
              <w:rPr>
                <w:rFonts w:hint="eastAsia" w:eastAsia="宋体" w:cs="黑体"/>
                <w:bCs/>
                <w:color w:val="auto"/>
                <w:sz w:val="44"/>
                <w:szCs w:val="44"/>
                <w:highlight w:val="none"/>
                <w:lang w:eastAsia="zh-CN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b w:val="0"/>
                <w:bCs w:val="0"/>
                <w:color w:val="auto"/>
                <w:sz w:val="44"/>
                <w:szCs w:val="44"/>
                <w:highlight w:val="none"/>
                <w:lang w:eastAsia="zh-CN"/>
              </w:rPr>
              <w:t>2025年</w:t>
            </w:r>
            <w:r>
              <w:rPr>
                <w:rFonts w:hint="eastAsia" w:ascii="方正小标宋简体" w:hAnsi="方正小标宋简体" w:eastAsia="方正小标宋简体" w:cs="方正小标宋简体"/>
                <w:b w:val="0"/>
                <w:bCs w:val="0"/>
                <w:color w:val="auto"/>
                <w:sz w:val="44"/>
                <w:szCs w:val="44"/>
                <w:highlight w:val="none"/>
              </w:rPr>
              <w:t>一般公共预算支出预算调整</w:t>
            </w:r>
            <w:r>
              <w:rPr>
                <w:rFonts w:hint="eastAsia" w:ascii="方正小标宋简体" w:hAnsi="方正小标宋简体" w:eastAsia="方正小标宋简体" w:cs="方正小标宋简体"/>
                <w:b w:val="0"/>
                <w:bCs w:val="0"/>
                <w:color w:val="000000"/>
                <w:sz w:val="44"/>
                <w:szCs w:val="44"/>
                <w:highlight w:val="none"/>
                <w:lang w:val="en-US" w:eastAsia="zh-CN"/>
              </w:rPr>
              <w:t>方案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  <w:jc w:val="center"/>
        </w:trPr>
        <w:tc>
          <w:tcPr>
            <w:tcW w:w="40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rPr>
                <w:rFonts w:eastAsia="黑体" w:cs="黑体"/>
                <w:color w:val="auto"/>
                <w:highlight w:val="none"/>
              </w:rPr>
            </w:pPr>
          </w:p>
        </w:tc>
        <w:tc>
          <w:tcPr>
            <w:tcW w:w="159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rPr>
                <w:color w:val="auto"/>
                <w:highlight w:val="none"/>
              </w:rPr>
            </w:pPr>
          </w:p>
        </w:tc>
        <w:tc>
          <w:tcPr>
            <w:tcW w:w="146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rPr>
                <w:color w:val="auto"/>
                <w:highlight w:val="none"/>
              </w:rPr>
            </w:pPr>
          </w:p>
        </w:tc>
        <w:tc>
          <w:tcPr>
            <w:tcW w:w="1838" w:type="dxa"/>
            <w:gridSpan w:val="2"/>
            <w:tcBorders>
              <w:top w:val="nil"/>
              <w:left w:val="nil"/>
              <w:bottom w:val="single" w:color="000000" w:sz="4" w:space="0"/>
              <w:right w:val="nil"/>
            </w:tcBorders>
            <w:vAlign w:val="center"/>
          </w:tcPr>
          <w:p>
            <w:pPr>
              <w:jc w:val="right"/>
              <w:textAlignment w:val="center"/>
              <w:rPr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/>
                <w:color w:val="auto"/>
                <w:sz w:val="20"/>
                <w:szCs w:val="20"/>
                <w:highlight w:val="none"/>
              </w:rPr>
              <w:t>单位:万元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2" w:hRule="atLeast"/>
          <w:jc w:val="center"/>
        </w:trPr>
        <w:tc>
          <w:tcPr>
            <w:tcW w:w="436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黑体" w:cs="黑体"/>
                <w:bCs/>
                <w:color w:val="auto"/>
                <w:highlight w:val="none"/>
              </w:rPr>
            </w:pPr>
            <w:r>
              <w:rPr>
                <w:rFonts w:hint="eastAsia" w:eastAsia="黑体" w:cs="黑体"/>
                <w:bCs/>
                <w:color w:val="auto"/>
                <w:highlight w:val="none"/>
              </w:rPr>
              <w:t>科目编码及名称</w:t>
            </w:r>
          </w:p>
        </w:tc>
        <w:tc>
          <w:tcPr>
            <w:tcW w:w="160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黑体" w:cs="黑体"/>
                <w:bCs/>
                <w:color w:val="auto"/>
                <w:highlight w:val="none"/>
              </w:rPr>
            </w:pPr>
            <w:r>
              <w:rPr>
                <w:rFonts w:hint="eastAsia" w:eastAsia="黑体" w:cs="黑体"/>
                <w:bCs/>
                <w:color w:val="auto"/>
                <w:highlight w:val="none"/>
              </w:rPr>
              <w:t>年初预算数</w:t>
            </w:r>
          </w:p>
        </w:tc>
        <w:tc>
          <w:tcPr>
            <w:tcW w:w="140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黑体" w:cs="黑体"/>
                <w:bCs/>
                <w:color w:val="auto"/>
                <w:highlight w:val="none"/>
              </w:rPr>
            </w:pPr>
            <w:r>
              <w:rPr>
                <w:rFonts w:hint="eastAsia" w:eastAsia="黑体" w:cs="黑体"/>
                <w:bCs/>
                <w:color w:val="auto"/>
                <w:highlight w:val="none"/>
              </w:rPr>
              <w:t>调增（+）</w:t>
            </w:r>
          </w:p>
          <w:p>
            <w:pPr>
              <w:jc w:val="center"/>
              <w:textAlignment w:val="center"/>
              <w:rPr>
                <w:rFonts w:eastAsia="黑体" w:cs="黑体"/>
                <w:bCs/>
                <w:color w:val="auto"/>
                <w:highlight w:val="none"/>
              </w:rPr>
            </w:pPr>
            <w:r>
              <w:rPr>
                <w:rFonts w:hint="eastAsia" w:eastAsia="黑体" w:cs="黑体"/>
                <w:bCs/>
                <w:color w:val="auto"/>
                <w:highlight w:val="none"/>
              </w:rPr>
              <w:t>调减（-）</w:t>
            </w:r>
          </w:p>
        </w:tc>
        <w:tc>
          <w:tcPr>
            <w:tcW w:w="15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黑体" w:cs="黑体"/>
                <w:bCs/>
                <w:color w:val="auto"/>
                <w:highlight w:val="none"/>
              </w:rPr>
            </w:pPr>
            <w:r>
              <w:rPr>
                <w:rFonts w:hint="eastAsia" w:eastAsia="黑体" w:cs="黑体"/>
                <w:bCs/>
                <w:color w:val="auto"/>
                <w:highlight w:val="none"/>
              </w:rPr>
              <w:t>调整预算数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7" w:hRule="atLeast"/>
          <w:jc w:val="center"/>
        </w:trPr>
        <w:tc>
          <w:tcPr>
            <w:tcW w:w="436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  <w:bookmarkStart w:id="1" w:name="OLE_LINK3" w:colFirst="2" w:colLast="2"/>
            <w:bookmarkStart w:id="2" w:name="OLE_LINK2" w:colFirst="1" w:colLast="3"/>
            <w:bookmarkStart w:id="3" w:name="OLE_LINK4" w:colFirst="2" w:colLast="3"/>
            <w:r>
              <w:rPr>
                <w:rFonts w:hint="eastAsia"/>
                <w:color w:val="auto"/>
                <w:sz w:val="21"/>
                <w:szCs w:val="21"/>
                <w:highlight w:val="none"/>
              </w:rPr>
              <w:t>201、一般公共服务支出</w:t>
            </w:r>
          </w:p>
        </w:tc>
        <w:tc>
          <w:tcPr>
            <w:tcW w:w="1605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41016</w:t>
            </w:r>
          </w:p>
        </w:tc>
        <w:tc>
          <w:tcPr>
            <w:tcW w:w="140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5162</w:t>
            </w:r>
          </w:p>
        </w:tc>
        <w:tc>
          <w:tcPr>
            <w:tcW w:w="156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46178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2" w:hRule="atLeast"/>
          <w:jc w:val="center"/>
        </w:trPr>
        <w:tc>
          <w:tcPr>
            <w:tcW w:w="4366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textAlignment w:val="center"/>
              <w:rPr>
                <w:rFonts w:hint="default" w:eastAsia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  <w:t>203、国防支出</w:t>
            </w:r>
          </w:p>
        </w:tc>
        <w:tc>
          <w:tcPr>
            <w:tcW w:w="160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140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15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6" w:hRule="atLeast"/>
          <w:jc w:val="center"/>
        </w:trPr>
        <w:tc>
          <w:tcPr>
            <w:tcW w:w="4366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  <w:bookmarkStart w:id="4" w:name="OLE_LINK5" w:colFirst="3" w:colLast="3"/>
            <w:r>
              <w:rPr>
                <w:rFonts w:hint="eastAsia"/>
                <w:color w:val="auto"/>
                <w:sz w:val="21"/>
                <w:szCs w:val="21"/>
                <w:highlight w:val="none"/>
              </w:rPr>
              <w:t>204、公共安全支出</w:t>
            </w:r>
          </w:p>
        </w:tc>
        <w:tc>
          <w:tcPr>
            <w:tcW w:w="160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9677</w:t>
            </w:r>
          </w:p>
        </w:tc>
        <w:tc>
          <w:tcPr>
            <w:tcW w:w="140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-266</w:t>
            </w:r>
          </w:p>
        </w:tc>
        <w:tc>
          <w:tcPr>
            <w:tcW w:w="15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8" w:hRule="atLeast"/>
          <w:jc w:val="center"/>
        </w:trPr>
        <w:tc>
          <w:tcPr>
            <w:tcW w:w="4366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</w:rPr>
              <w:t>205、教育支出</w:t>
            </w:r>
          </w:p>
        </w:tc>
        <w:tc>
          <w:tcPr>
            <w:tcW w:w="160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88071</w:t>
            </w:r>
          </w:p>
        </w:tc>
        <w:tc>
          <w:tcPr>
            <w:tcW w:w="140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-5940</w:t>
            </w:r>
          </w:p>
        </w:tc>
        <w:tc>
          <w:tcPr>
            <w:tcW w:w="15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82131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7" w:hRule="atLeast"/>
          <w:jc w:val="center"/>
        </w:trPr>
        <w:tc>
          <w:tcPr>
            <w:tcW w:w="4366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</w:rPr>
              <w:t>206、科学技术支出</w:t>
            </w:r>
          </w:p>
        </w:tc>
        <w:tc>
          <w:tcPr>
            <w:tcW w:w="160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2920</w:t>
            </w:r>
          </w:p>
        </w:tc>
        <w:tc>
          <w:tcPr>
            <w:tcW w:w="140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2680</w:t>
            </w:r>
          </w:p>
        </w:tc>
        <w:tc>
          <w:tcPr>
            <w:tcW w:w="15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5600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7" w:hRule="atLeast"/>
          <w:jc w:val="center"/>
        </w:trPr>
        <w:tc>
          <w:tcPr>
            <w:tcW w:w="4366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</w:rPr>
              <w:t>207、文化旅游体育与传媒支出</w:t>
            </w:r>
          </w:p>
        </w:tc>
        <w:tc>
          <w:tcPr>
            <w:tcW w:w="160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1311</w:t>
            </w:r>
          </w:p>
        </w:tc>
        <w:tc>
          <w:tcPr>
            <w:tcW w:w="140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</w:t>
            </w:r>
          </w:p>
        </w:tc>
        <w:tc>
          <w:tcPr>
            <w:tcW w:w="15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1340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7" w:hRule="atLeast"/>
          <w:jc w:val="center"/>
        </w:trPr>
        <w:tc>
          <w:tcPr>
            <w:tcW w:w="4366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</w:rPr>
              <w:t>208、社会保障和就业支出</w:t>
            </w:r>
          </w:p>
        </w:tc>
        <w:tc>
          <w:tcPr>
            <w:tcW w:w="160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50115</w:t>
            </w:r>
          </w:p>
        </w:tc>
        <w:tc>
          <w:tcPr>
            <w:tcW w:w="140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1121</w:t>
            </w:r>
          </w:p>
        </w:tc>
        <w:tc>
          <w:tcPr>
            <w:tcW w:w="15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51236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7" w:hRule="atLeast"/>
          <w:jc w:val="center"/>
        </w:trPr>
        <w:tc>
          <w:tcPr>
            <w:tcW w:w="4366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</w:rPr>
              <w:t>210、卫生健康支出</w:t>
            </w:r>
          </w:p>
        </w:tc>
        <w:tc>
          <w:tcPr>
            <w:tcW w:w="160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18371</w:t>
            </w:r>
          </w:p>
        </w:tc>
        <w:tc>
          <w:tcPr>
            <w:tcW w:w="140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-1534</w:t>
            </w:r>
          </w:p>
        </w:tc>
        <w:tc>
          <w:tcPr>
            <w:tcW w:w="15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16837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7" w:hRule="atLeast"/>
          <w:jc w:val="center"/>
        </w:trPr>
        <w:tc>
          <w:tcPr>
            <w:tcW w:w="4366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</w:rPr>
              <w:t>211、节能环保支出</w:t>
            </w:r>
          </w:p>
        </w:tc>
        <w:tc>
          <w:tcPr>
            <w:tcW w:w="160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9186</w:t>
            </w:r>
          </w:p>
        </w:tc>
        <w:tc>
          <w:tcPr>
            <w:tcW w:w="140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930</w:t>
            </w:r>
          </w:p>
        </w:tc>
        <w:tc>
          <w:tcPr>
            <w:tcW w:w="15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7" w:hRule="atLeast"/>
          <w:jc w:val="center"/>
        </w:trPr>
        <w:tc>
          <w:tcPr>
            <w:tcW w:w="4366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</w:rPr>
              <w:t>212、城乡社区支出</w:t>
            </w:r>
          </w:p>
        </w:tc>
        <w:tc>
          <w:tcPr>
            <w:tcW w:w="160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9162</w:t>
            </w:r>
          </w:p>
        </w:tc>
        <w:tc>
          <w:tcPr>
            <w:tcW w:w="140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1539</w:t>
            </w:r>
          </w:p>
        </w:tc>
        <w:tc>
          <w:tcPr>
            <w:tcW w:w="15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10701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7" w:hRule="atLeast"/>
          <w:jc w:val="center"/>
        </w:trPr>
        <w:tc>
          <w:tcPr>
            <w:tcW w:w="4366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</w:rPr>
              <w:t>213、农林水支出</w:t>
            </w:r>
          </w:p>
        </w:tc>
        <w:tc>
          <w:tcPr>
            <w:tcW w:w="160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46552</w:t>
            </w:r>
          </w:p>
        </w:tc>
        <w:tc>
          <w:tcPr>
            <w:tcW w:w="140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3631</w:t>
            </w:r>
          </w:p>
        </w:tc>
        <w:tc>
          <w:tcPr>
            <w:tcW w:w="15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50183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7" w:hRule="atLeast"/>
          <w:jc w:val="center"/>
        </w:trPr>
        <w:tc>
          <w:tcPr>
            <w:tcW w:w="4366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</w:rPr>
              <w:t>214、交通运输支出</w:t>
            </w:r>
          </w:p>
        </w:tc>
        <w:tc>
          <w:tcPr>
            <w:tcW w:w="160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5386</w:t>
            </w:r>
          </w:p>
        </w:tc>
        <w:tc>
          <w:tcPr>
            <w:tcW w:w="140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15422</w:t>
            </w:r>
          </w:p>
        </w:tc>
        <w:tc>
          <w:tcPr>
            <w:tcW w:w="15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20808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7" w:hRule="atLeast"/>
          <w:jc w:val="center"/>
        </w:trPr>
        <w:tc>
          <w:tcPr>
            <w:tcW w:w="4366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</w:rPr>
              <w:t>215、资源勘探工业信息等支出</w:t>
            </w:r>
          </w:p>
        </w:tc>
        <w:tc>
          <w:tcPr>
            <w:tcW w:w="160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364</w:t>
            </w:r>
          </w:p>
        </w:tc>
        <w:tc>
          <w:tcPr>
            <w:tcW w:w="140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15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7" w:hRule="atLeast"/>
          <w:jc w:val="center"/>
        </w:trPr>
        <w:tc>
          <w:tcPr>
            <w:tcW w:w="4366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</w:rPr>
              <w:t>216、商业服务业等支出</w:t>
            </w:r>
          </w:p>
        </w:tc>
        <w:tc>
          <w:tcPr>
            <w:tcW w:w="160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246</w:t>
            </w:r>
          </w:p>
        </w:tc>
        <w:tc>
          <w:tcPr>
            <w:tcW w:w="140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-8</w:t>
            </w:r>
          </w:p>
        </w:tc>
        <w:tc>
          <w:tcPr>
            <w:tcW w:w="15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238</w:t>
            </w:r>
          </w:p>
        </w:tc>
      </w:tr>
      <w:bookmarkEnd w:id="4"/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7" w:hRule="atLeast"/>
          <w:jc w:val="center"/>
        </w:trPr>
        <w:tc>
          <w:tcPr>
            <w:tcW w:w="4366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</w:rPr>
              <w:t>217、金融支出</w:t>
            </w:r>
          </w:p>
        </w:tc>
        <w:tc>
          <w:tcPr>
            <w:tcW w:w="160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0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15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7" w:hRule="atLeast"/>
          <w:jc w:val="center"/>
        </w:trPr>
        <w:tc>
          <w:tcPr>
            <w:tcW w:w="4366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</w:rPr>
              <w:t>219、援助其他地区支出</w:t>
            </w:r>
          </w:p>
        </w:tc>
        <w:tc>
          <w:tcPr>
            <w:tcW w:w="160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0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15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7" w:hRule="atLeast"/>
          <w:jc w:val="center"/>
        </w:trPr>
        <w:tc>
          <w:tcPr>
            <w:tcW w:w="4366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  <w:bookmarkStart w:id="5" w:name="OLE_LINK6" w:colFirst="3" w:colLast="3"/>
            <w:r>
              <w:rPr>
                <w:rFonts w:hint="eastAsia"/>
                <w:color w:val="auto"/>
                <w:sz w:val="21"/>
                <w:szCs w:val="21"/>
                <w:highlight w:val="none"/>
              </w:rPr>
              <w:t>220、自然资源海洋气象等支出</w:t>
            </w:r>
          </w:p>
        </w:tc>
        <w:tc>
          <w:tcPr>
            <w:tcW w:w="160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32444</w:t>
            </w:r>
          </w:p>
        </w:tc>
        <w:tc>
          <w:tcPr>
            <w:tcW w:w="140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8930</w:t>
            </w:r>
          </w:p>
        </w:tc>
        <w:tc>
          <w:tcPr>
            <w:tcW w:w="15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41374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7" w:hRule="atLeast"/>
          <w:jc w:val="center"/>
        </w:trPr>
        <w:tc>
          <w:tcPr>
            <w:tcW w:w="4366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</w:rPr>
              <w:t>221、住房保障支出</w:t>
            </w:r>
          </w:p>
        </w:tc>
        <w:tc>
          <w:tcPr>
            <w:tcW w:w="160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2844</w:t>
            </w:r>
          </w:p>
        </w:tc>
        <w:tc>
          <w:tcPr>
            <w:tcW w:w="140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-60</w:t>
            </w:r>
          </w:p>
        </w:tc>
        <w:tc>
          <w:tcPr>
            <w:tcW w:w="15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2784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7" w:hRule="atLeast"/>
          <w:jc w:val="center"/>
        </w:trPr>
        <w:tc>
          <w:tcPr>
            <w:tcW w:w="4366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</w:rPr>
              <w:t>222、粮油物资储备支出</w:t>
            </w:r>
          </w:p>
        </w:tc>
        <w:tc>
          <w:tcPr>
            <w:tcW w:w="160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342</w:t>
            </w:r>
          </w:p>
        </w:tc>
        <w:tc>
          <w:tcPr>
            <w:tcW w:w="140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-28</w:t>
            </w:r>
          </w:p>
        </w:tc>
        <w:tc>
          <w:tcPr>
            <w:tcW w:w="15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7" w:hRule="atLeast"/>
          <w:jc w:val="center"/>
        </w:trPr>
        <w:tc>
          <w:tcPr>
            <w:tcW w:w="4366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</w:rPr>
              <w:t>224、灾害防治及应急管理支出</w:t>
            </w:r>
          </w:p>
        </w:tc>
        <w:tc>
          <w:tcPr>
            <w:tcW w:w="160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12885</w:t>
            </w:r>
          </w:p>
        </w:tc>
        <w:tc>
          <w:tcPr>
            <w:tcW w:w="140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173</w:t>
            </w:r>
          </w:p>
        </w:tc>
        <w:tc>
          <w:tcPr>
            <w:tcW w:w="15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13058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7" w:hRule="atLeast"/>
          <w:jc w:val="center"/>
        </w:trPr>
        <w:tc>
          <w:tcPr>
            <w:tcW w:w="4366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</w:rPr>
              <w:t>227、预备费</w:t>
            </w:r>
          </w:p>
        </w:tc>
        <w:tc>
          <w:tcPr>
            <w:tcW w:w="160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5000</w:t>
            </w:r>
          </w:p>
        </w:tc>
        <w:tc>
          <w:tcPr>
            <w:tcW w:w="140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15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7" w:hRule="atLeast"/>
          <w:jc w:val="center"/>
        </w:trPr>
        <w:tc>
          <w:tcPr>
            <w:tcW w:w="4366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</w:rPr>
              <w:t>229、其他支出</w:t>
            </w:r>
          </w:p>
        </w:tc>
        <w:tc>
          <w:tcPr>
            <w:tcW w:w="160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20150</w:t>
            </w:r>
          </w:p>
        </w:tc>
        <w:tc>
          <w:tcPr>
            <w:tcW w:w="140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  <w:r>
              <w:rPr>
                <w:rFonts w:hint="eastAsia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16352</w:t>
            </w:r>
          </w:p>
        </w:tc>
        <w:tc>
          <w:tcPr>
            <w:tcW w:w="15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3798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7" w:hRule="atLeast"/>
          <w:jc w:val="center"/>
        </w:trPr>
        <w:tc>
          <w:tcPr>
            <w:tcW w:w="4366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</w:rPr>
              <w:t>232、债务付息支出</w:t>
            </w:r>
          </w:p>
        </w:tc>
        <w:tc>
          <w:tcPr>
            <w:tcW w:w="160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3660</w:t>
            </w:r>
          </w:p>
        </w:tc>
        <w:tc>
          <w:tcPr>
            <w:tcW w:w="140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15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7" w:hRule="atLeast"/>
          <w:jc w:val="center"/>
        </w:trPr>
        <w:tc>
          <w:tcPr>
            <w:tcW w:w="4366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</w:rPr>
              <w:t>233、债务发行费用支出</w:t>
            </w:r>
          </w:p>
        </w:tc>
        <w:tc>
          <w:tcPr>
            <w:tcW w:w="160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140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15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</w:tr>
      <w:bookmarkEnd w:id="1"/>
      <w:bookmarkEnd w:id="2"/>
      <w:bookmarkEnd w:id="5"/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7" w:hRule="atLeast"/>
          <w:jc w:val="center"/>
        </w:trPr>
        <w:tc>
          <w:tcPr>
            <w:tcW w:w="4366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both"/>
              <w:textAlignment w:val="center"/>
              <w:rPr>
                <w:b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/>
                <w:b/>
                <w:color w:val="auto"/>
                <w:sz w:val="21"/>
                <w:szCs w:val="21"/>
                <w:highlight w:val="none"/>
              </w:rPr>
              <w:t>支出总计</w:t>
            </w:r>
          </w:p>
        </w:tc>
        <w:tc>
          <w:tcPr>
            <w:tcW w:w="160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hint="default" w:eastAsia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/>
                <w:b/>
                <w:bCs/>
                <w:color w:val="auto"/>
                <w:sz w:val="21"/>
                <w:szCs w:val="21"/>
                <w:highlight w:val="none"/>
                <w:lang w:val="en-US" w:eastAsia="zh-CN"/>
              </w:rPr>
              <w:t>359716</w:t>
            </w:r>
          </w:p>
        </w:tc>
        <w:tc>
          <w:tcPr>
            <w:tcW w:w="140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hint="default" w:ascii="宋体" w:hAnsi="宋体" w:eastAsia="宋体" w:cs="宋体"/>
                <w:b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/>
                <w:b/>
                <w:color w:val="auto"/>
                <w:sz w:val="21"/>
                <w:szCs w:val="21"/>
                <w:highlight w:val="none"/>
                <w:lang w:val="en-US" w:eastAsia="zh-CN"/>
              </w:rPr>
              <w:t>15429</w:t>
            </w:r>
          </w:p>
        </w:tc>
        <w:tc>
          <w:tcPr>
            <w:tcW w:w="15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  <w:r>
              <w:rPr>
                <w:rFonts w:hint="eastAsia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75145</w:t>
            </w:r>
          </w:p>
        </w:tc>
      </w:tr>
      <w:bookmarkEnd w:id="3"/>
    </w:tbl>
    <w:p>
      <w:pPr>
        <w:widowControl w:val="0"/>
        <w:snapToGrid w:val="0"/>
        <w:jc w:val="both"/>
        <w:sectPr>
          <w:pgSz w:w="11906" w:h="16838"/>
          <w:pgMar w:top="2098" w:right="1531" w:bottom="1531" w:left="1531" w:header="851" w:footer="992" w:gutter="0"/>
          <w:pgNumType w:fmt="numberInDash"/>
          <w:cols w:space="720" w:num="1"/>
          <w:docGrid w:type="lines" w:linePitch="340" w:charSpace="0"/>
        </w:sectPr>
      </w:pPr>
    </w:p>
    <w:p>
      <w:pPr>
        <w:widowControl w:val="0"/>
        <w:snapToGrid w:val="0"/>
        <w:spacing w:line="600" w:lineRule="exact"/>
        <w:jc w:val="both"/>
        <w:rPr>
          <w:rFonts w:eastAsia="黑体" w:cs="黑体"/>
          <w:color w:val="auto"/>
          <w:sz w:val="32"/>
          <w:szCs w:val="32"/>
          <w:highlight w:val="none"/>
        </w:rPr>
      </w:pPr>
      <w:r>
        <w:rPr>
          <w:rFonts w:hint="eastAsia" w:eastAsia="黑体" w:cs="黑体"/>
          <w:color w:val="auto"/>
          <w:sz w:val="32"/>
          <w:szCs w:val="32"/>
          <w:highlight w:val="none"/>
        </w:rPr>
        <w:t>附件3</w:t>
      </w:r>
    </w:p>
    <w:tbl>
      <w:tblPr>
        <w:tblStyle w:val="4"/>
        <w:tblW w:w="13266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81"/>
        <w:gridCol w:w="1094"/>
        <w:gridCol w:w="1151"/>
        <w:gridCol w:w="997"/>
        <w:gridCol w:w="3061"/>
        <w:gridCol w:w="910"/>
        <w:gridCol w:w="1020"/>
        <w:gridCol w:w="952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9" w:hRule="atLeast"/>
          <w:jc w:val="center"/>
        </w:trPr>
        <w:tc>
          <w:tcPr>
            <w:tcW w:w="13266" w:type="dxa"/>
            <w:gridSpan w:val="8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spacing w:line="600" w:lineRule="exact"/>
              <w:jc w:val="center"/>
              <w:textAlignment w:val="center"/>
              <w:rPr>
                <w:rFonts w:hint="default" w:eastAsia="宋体" w:cs="黑体"/>
                <w:bCs/>
                <w:color w:val="auto"/>
                <w:sz w:val="44"/>
                <w:szCs w:val="44"/>
                <w:highlight w:val="none"/>
                <w:lang w:val="en-US" w:eastAsia="zh-CN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b w:val="0"/>
                <w:bCs w:val="0"/>
                <w:color w:val="auto"/>
                <w:sz w:val="44"/>
                <w:szCs w:val="44"/>
                <w:highlight w:val="none"/>
                <w:lang w:eastAsia="zh-CN"/>
              </w:rPr>
              <w:t>2025年</w:t>
            </w:r>
            <w:r>
              <w:rPr>
                <w:rFonts w:hint="eastAsia" w:ascii="方正小标宋简体" w:hAnsi="方正小标宋简体" w:eastAsia="方正小标宋简体" w:cs="方正小标宋简体"/>
                <w:b w:val="0"/>
                <w:bCs w:val="0"/>
                <w:color w:val="auto"/>
                <w:sz w:val="44"/>
                <w:szCs w:val="44"/>
                <w:highlight w:val="none"/>
              </w:rPr>
              <w:t>政府性基金预算收支调整</w:t>
            </w:r>
            <w:r>
              <w:rPr>
                <w:rFonts w:hint="eastAsia" w:ascii="方正小标宋简体" w:hAnsi="方正小标宋简体" w:eastAsia="方正小标宋简体" w:cs="方正小标宋简体"/>
                <w:b w:val="0"/>
                <w:bCs w:val="0"/>
                <w:color w:val="000000"/>
                <w:sz w:val="44"/>
                <w:szCs w:val="44"/>
                <w:highlight w:val="none"/>
                <w:lang w:val="en-US" w:eastAsia="zh-CN"/>
              </w:rPr>
              <w:t>方案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9" w:hRule="atLeast"/>
          <w:jc w:val="center"/>
        </w:trPr>
        <w:tc>
          <w:tcPr>
            <w:tcW w:w="408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spacing w:line="600" w:lineRule="exact"/>
              <w:rPr>
                <w:rFonts w:eastAsia="黑体" w:cs="黑体"/>
                <w:color w:val="auto"/>
                <w:sz w:val="22"/>
                <w:szCs w:val="22"/>
                <w:highlight w:val="none"/>
              </w:rPr>
            </w:pP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spacing w:line="600" w:lineRule="exact"/>
              <w:jc w:val="center"/>
              <w:rPr>
                <w:color w:val="auto"/>
                <w:sz w:val="22"/>
                <w:szCs w:val="22"/>
                <w:highlight w:val="none"/>
              </w:rPr>
            </w:pPr>
          </w:p>
        </w:tc>
        <w:tc>
          <w:tcPr>
            <w:tcW w:w="11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spacing w:line="600" w:lineRule="exact"/>
              <w:jc w:val="center"/>
              <w:rPr>
                <w:color w:val="auto"/>
                <w:sz w:val="22"/>
                <w:szCs w:val="22"/>
                <w:highlight w:val="none"/>
              </w:rPr>
            </w:pP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spacing w:line="600" w:lineRule="exact"/>
              <w:jc w:val="center"/>
              <w:rPr>
                <w:color w:val="auto"/>
                <w:sz w:val="22"/>
                <w:szCs w:val="22"/>
                <w:highlight w:val="none"/>
              </w:rPr>
            </w:pPr>
          </w:p>
        </w:tc>
        <w:tc>
          <w:tcPr>
            <w:tcW w:w="30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spacing w:line="600" w:lineRule="exact"/>
              <w:rPr>
                <w:color w:val="auto"/>
                <w:sz w:val="22"/>
                <w:szCs w:val="22"/>
                <w:highlight w:val="none"/>
              </w:rPr>
            </w:pP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spacing w:line="600" w:lineRule="exact"/>
              <w:jc w:val="center"/>
              <w:rPr>
                <w:color w:val="auto"/>
                <w:sz w:val="22"/>
                <w:szCs w:val="22"/>
                <w:highlight w:val="none"/>
              </w:rPr>
            </w:pPr>
          </w:p>
        </w:tc>
        <w:tc>
          <w:tcPr>
            <w:tcW w:w="197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spacing w:line="600" w:lineRule="exact"/>
              <w:jc w:val="center"/>
              <w:textAlignment w:val="center"/>
              <w:rPr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/>
                <w:color w:val="auto"/>
                <w:sz w:val="20"/>
                <w:szCs w:val="20"/>
                <w:highlight w:val="none"/>
              </w:rPr>
              <w:t xml:space="preserve">     单位：万元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8" w:hRule="atLeast"/>
          <w:jc w:val="center"/>
        </w:trPr>
        <w:tc>
          <w:tcPr>
            <w:tcW w:w="7323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Fonts w:eastAsia="黑体" w:cs="黑体"/>
                <w:color w:val="auto"/>
                <w:highlight w:val="none"/>
              </w:rPr>
            </w:pPr>
            <w:r>
              <w:rPr>
                <w:rStyle w:val="16"/>
                <w:rFonts w:hint="default" w:eastAsia="黑体" w:cs="黑体"/>
                <w:b w:val="0"/>
                <w:bCs w:val="0"/>
                <w:color w:val="auto"/>
                <w:sz w:val="24"/>
                <w:szCs w:val="24"/>
                <w:highlight w:val="none"/>
              </w:rPr>
              <w:t>收    入</w:t>
            </w:r>
          </w:p>
        </w:tc>
        <w:tc>
          <w:tcPr>
            <w:tcW w:w="5943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Fonts w:eastAsia="黑体" w:cs="黑体"/>
                <w:color w:val="auto"/>
                <w:highlight w:val="none"/>
              </w:rPr>
            </w:pPr>
            <w:r>
              <w:rPr>
                <w:rStyle w:val="16"/>
                <w:rFonts w:hint="default" w:eastAsia="黑体" w:cs="黑体"/>
                <w:b w:val="0"/>
                <w:bCs w:val="0"/>
                <w:color w:val="auto"/>
                <w:sz w:val="24"/>
                <w:szCs w:val="24"/>
                <w:highlight w:val="none"/>
              </w:rPr>
              <w:t>支    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2" w:hRule="atLeast"/>
          <w:jc w:val="center"/>
        </w:trPr>
        <w:tc>
          <w:tcPr>
            <w:tcW w:w="4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Fonts w:eastAsia="黑体" w:cs="黑体"/>
                <w:color w:val="auto"/>
                <w:sz w:val="22"/>
                <w:szCs w:val="22"/>
                <w:highlight w:val="none"/>
              </w:rPr>
            </w:pPr>
            <w:r>
              <w:rPr>
                <w:rStyle w:val="17"/>
                <w:rFonts w:hint="default" w:eastAsia="黑体" w:cs="黑体"/>
                <w:b w:val="0"/>
                <w:bCs w:val="0"/>
                <w:color w:val="auto"/>
                <w:sz w:val="22"/>
                <w:szCs w:val="22"/>
                <w:highlight w:val="none"/>
              </w:rPr>
              <w:t>项    目</w:t>
            </w:r>
          </w:p>
        </w:tc>
        <w:tc>
          <w:tcPr>
            <w:tcW w:w="10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Fonts w:eastAsia="黑体" w:cs="黑体"/>
                <w:color w:val="auto"/>
                <w:sz w:val="22"/>
                <w:szCs w:val="22"/>
                <w:highlight w:val="none"/>
              </w:rPr>
            </w:pPr>
            <w:r>
              <w:rPr>
                <w:rFonts w:hint="eastAsia" w:eastAsia="黑体" w:cs="黑体"/>
                <w:color w:val="auto"/>
                <w:sz w:val="22"/>
                <w:szCs w:val="22"/>
                <w:highlight w:val="none"/>
              </w:rPr>
              <w:t>年  初</w:t>
            </w:r>
          </w:p>
          <w:p>
            <w:pPr>
              <w:jc w:val="center"/>
              <w:textAlignment w:val="center"/>
              <w:rPr>
                <w:rFonts w:eastAsia="黑体" w:cs="黑体"/>
                <w:color w:val="auto"/>
                <w:sz w:val="22"/>
                <w:szCs w:val="22"/>
                <w:highlight w:val="none"/>
              </w:rPr>
            </w:pPr>
            <w:r>
              <w:rPr>
                <w:rFonts w:hint="eastAsia" w:eastAsia="黑体" w:cs="黑体"/>
                <w:color w:val="auto"/>
                <w:sz w:val="22"/>
                <w:szCs w:val="22"/>
                <w:highlight w:val="none"/>
              </w:rPr>
              <w:t>预算数</w:t>
            </w:r>
          </w:p>
        </w:tc>
        <w:tc>
          <w:tcPr>
            <w:tcW w:w="1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Fonts w:eastAsia="黑体" w:cs="黑体"/>
                <w:color w:val="auto"/>
                <w:sz w:val="22"/>
                <w:szCs w:val="22"/>
                <w:highlight w:val="none"/>
              </w:rPr>
            </w:pPr>
            <w:r>
              <w:rPr>
                <w:rFonts w:hint="eastAsia" w:eastAsia="黑体" w:cs="黑体"/>
                <w:color w:val="auto"/>
                <w:sz w:val="22"/>
                <w:szCs w:val="22"/>
                <w:highlight w:val="none"/>
              </w:rPr>
              <w:t>调增（+）</w:t>
            </w:r>
          </w:p>
          <w:p>
            <w:pPr>
              <w:jc w:val="center"/>
              <w:textAlignment w:val="center"/>
              <w:rPr>
                <w:rFonts w:eastAsia="黑体" w:cs="黑体"/>
                <w:color w:val="auto"/>
                <w:sz w:val="22"/>
                <w:szCs w:val="22"/>
                <w:highlight w:val="none"/>
              </w:rPr>
            </w:pPr>
            <w:r>
              <w:rPr>
                <w:rFonts w:hint="eastAsia" w:eastAsia="黑体" w:cs="黑体"/>
                <w:color w:val="auto"/>
                <w:sz w:val="22"/>
                <w:szCs w:val="22"/>
                <w:highlight w:val="none"/>
              </w:rPr>
              <w:t>调减（-）</w:t>
            </w:r>
          </w:p>
        </w:tc>
        <w:tc>
          <w:tcPr>
            <w:tcW w:w="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Fonts w:eastAsia="黑体" w:cs="黑体"/>
                <w:color w:val="auto"/>
                <w:sz w:val="22"/>
                <w:szCs w:val="22"/>
                <w:highlight w:val="none"/>
              </w:rPr>
            </w:pPr>
            <w:r>
              <w:rPr>
                <w:rFonts w:hint="eastAsia" w:eastAsia="黑体" w:cs="黑体"/>
                <w:color w:val="auto"/>
                <w:sz w:val="22"/>
                <w:szCs w:val="22"/>
                <w:highlight w:val="none"/>
              </w:rPr>
              <w:t>调  整</w:t>
            </w:r>
          </w:p>
          <w:p>
            <w:pPr>
              <w:jc w:val="center"/>
              <w:textAlignment w:val="center"/>
              <w:rPr>
                <w:rFonts w:eastAsia="黑体" w:cs="黑体"/>
                <w:color w:val="auto"/>
                <w:sz w:val="22"/>
                <w:szCs w:val="22"/>
                <w:highlight w:val="none"/>
              </w:rPr>
            </w:pPr>
            <w:r>
              <w:rPr>
                <w:rFonts w:hint="eastAsia" w:eastAsia="黑体" w:cs="黑体"/>
                <w:color w:val="auto"/>
                <w:sz w:val="22"/>
                <w:szCs w:val="22"/>
                <w:highlight w:val="none"/>
              </w:rPr>
              <w:t>预算数</w:t>
            </w:r>
          </w:p>
        </w:tc>
        <w:tc>
          <w:tcPr>
            <w:tcW w:w="3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Fonts w:eastAsia="黑体" w:cs="黑体"/>
                <w:color w:val="auto"/>
                <w:sz w:val="22"/>
                <w:szCs w:val="22"/>
                <w:highlight w:val="none"/>
              </w:rPr>
            </w:pPr>
            <w:r>
              <w:rPr>
                <w:rFonts w:hint="eastAsia" w:eastAsia="黑体" w:cs="黑体"/>
                <w:color w:val="auto"/>
                <w:sz w:val="22"/>
                <w:szCs w:val="22"/>
                <w:highlight w:val="none"/>
              </w:rPr>
              <w:t>项    目</w:t>
            </w:r>
          </w:p>
        </w:tc>
        <w:tc>
          <w:tcPr>
            <w:tcW w:w="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Fonts w:eastAsia="黑体" w:cs="黑体"/>
                <w:color w:val="auto"/>
                <w:sz w:val="22"/>
                <w:szCs w:val="22"/>
                <w:highlight w:val="none"/>
              </w:rPr>
            </w:pPr>
            <w:r>
              <w:rPr>
                <w:rFonts w:hint="eastAsia" w:eastAsia="黑体" w:cs="黑体"/>
                <w:color w:val="auto"/>
                <w:sz w:val="22"/>
                <w:szCs w:val="22"/>
                <w:highlight w:val="none"/>
              </w:rPr>
              <w:t>年  初</w:t>
            </w:r>
          </w:p>
          <w:p>
            <w:pPr>
              <w:jc w:val="center"/>
              <w:textAlignment w:val="center"/>
              <w:rPr>
                <w:rFonts w:eastAsia="黑体" w:cs="黑体"/>
                <w:color w:val="auto"/>
                <w:sz w:val="22"/>
                <w:szCs w:val="22"/>
                <w:highlight w:val="none"/>
              </w:rPr>
            </w:pPr>
            <w:r>
              <w:rPr>
                <w:rFonts w:hint="eastAsia" w:eastAsia="黑体" w:cs="黑体"/>
                <w:color w:val="auto"/>
                <w:sz w:val="22"/>
                <w:szCs w:val="22"/>
                <w:highlight w:val="none"/>
              </w:rPr>
              <w:t>预算数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Fonts w:eastAsia="黑体" w:cs="黑体"/>
                <w:color w:val="auto"/>
                <w:sz w:val="22"/>
                <w:szCs w:val="22"/>
                <w:highlight w:val="none"/>
              </w:rPr>
            </w:pPr>
            <w:r>
              <w:rPr>
                <w:rFonts w:hint="eastAsia" w:eastAsia="黑体" w:cs="黑体"/>
                <w:color w:val="auto"/>
                <w:sz w:val="22"/>
                <w:szCs w:val="22"/>
                <w:highlight w:val="none"/>
              </w:rPr>
              <w:t>调增（+）</w:t>
            </w:r>
          </w:p>
          <w:p>
            <w:pPr>
              <w:jc w:val="center"/>
              <w:textAlignment w:val="center"/>
              <w:rPr>
                <w:rFonts w:eastAsia="黑体" w:cs="黑体"/>
                <w:color w:val="auto"/>
                <w:sz w:val="22"/>
                <w:szCs w:val="22"/>
                <w:highlight w:val="none"/>
              </w:rPr>
            </w:pPr>
            <w:r>
              <w:rPr>
                <w:rFonts w:hint="eastAsia" w:eastAsia="黑体" w:cs="黑体"/>
                <w:color w:val="auto"/>
                <w:sz w:val="22"/>
                <w:szCs w:val="22"/>
                <w:highlight w:val="none"/>
              </w:rPr>
              <w:t>调减（-）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Fonts w:eastAsia="黑体" w:cs="黑体"/>
                <w:color w:val="auto"/>
                <w:sz w:val="22"/>
                <w:szCs w:val="22"/>
                <w:highlight w:val="none"/>
              </w:rPr>
            </w:pPr>
            <w:r>
              <w:rPr>
                <w:rFonts w:hint="eastAsia" w:eastAsia="黑体" w:cs="黑体"/>
                <w:color w:val="auto"/>
                <w:sz w:val="22"/>
                <w:szCs w:val="22"/>
                <w:highlight w:val="none"/>
              </w:rPr>
              <w:t>调  整</w:t>
            </w:r>
          </w:p>
          <w:p>
            <w:pPr>
              <w:jc w:val="center"/>
              <w:textAlignment w:val="center"/>
              <w:rPr>
                <w:rFonts w:eastAsia="黑体" w:cs="黑体"/>
                <w:color w:val="auto"/>
                <w:sz w:val="22"/>
                <w:szCs w:val="22"/>
                <w:highlight w:val="none"/>
              </w:rPr>
            </w:pPr>
            <w:r>
              <w:rPr>
                <w:rFonts w:hint="eastAsia" w:eastAsia="黑体" w:cs="黑体"/>
                <w:color w:val="auto"/>
                <w:sz w:val="22"/>
                <w:szCs w:val="22"/>
                <w:highlight w:val="none"/>
              </w:rPr>
              <w:t>预算数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6" w:hRule="atLeast"/>
          <w:jc w:val="center"/>
        </w:trPr>
        <w:tc>
          <w:tcPr>
            <w:tcW w:w="4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textAlignment w:val="center"/>
              <w:rPr>
                <w:b/>
                <w:bCs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/>
                <w:b/>
                <w:bCs/>
                <w:color w:val="auto"/>
                <w:sz w:val="21"/>
                <w:szCs w:val="21"/>
                <w:highlight w:val="none"/>
              </w:rPr>
              <w:t>本级收入</w:t>
            </w:r>
          </w:p>
        </w:tc>
        <w:tc>
          <w:tcPr>
            <w:tcW w:w="10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Fonts w:hint="eastAsia" w:eastAsia="宋体"/>
                <w:b/>
                <w:bCs/>
                <w:color w:val="auto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/>
                <w:b/>
                <w:bCs/>
                <w:color w:val="auto"/>
                <w:sz w:val="21"/>
                <w:szCs w:val="21"/>
                <w:highlight w:val="none"/>
                <w:lang w:val="en-US" w:eastAsia="zh-CN"/>
              </w:rPr>
              <w:t>102550</w:t>
            </w:r>
          </w:p>
        </w:tc>
        <w:tc>
          <w:tcPr>
            <w:tcW w:w="1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default" w:eastAsia="宋体"/>
                <w:b/>
                <w:bCs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/>
                <w:b/>
                <w:bCs/>
                <w:color w:val="auto"/>
                <w:sz w:val="21"/>
                <w:szCs w:val="21"/>
                <w:highlight w:val="none"/>
                <w:lang w:val="en-US" w:eastAsia="zh-CN"/>
              </w:rPr>
              <w:t>-32550</w:t>
            </w:r>
          </w:p>
        </w:tc>
        <w:tc>
          <w:tcPr>
            <w:tcW w:w="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Fonts w:hint="default"/>
                <w:b/>
                <w:bCs/>
                <w:color w:val="auto"/>
                <w:sz w:val="21"/>
                <w:szCs w:val="21"/>
                <w:highlight w:val="none"/>
                <w:lang w:val="en-US"/>
              </w:rPr>
            </w:pPr>
            <w:r>
              <w:rPr>
                <w:rFonts w:hint="eastAsia"/>
                <w:b/>
                <w:bCs/>
                <w:color w:val="auto"/>
                <w:sz w:val="21"/>
                <w:szCs w:val="21"/>
                <w:highlight w:val="none"/>
                <w:lang w:val="en-US" w:eastAsia="zh-CN"/>
              </w:rPr>
              <w:t>70000</w:t>
            </w:r>
          </w:p>
        </w:tc>
        <w:tc>
          <w:tcPr>
            <w:tcW w:w="3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textAlignment w:val="center"/>
              <w:rPr>
                <w:b/>
                <w:bCs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/>
                <w:b/>
                <w:bCs/>
                <w:color w:val="auto"/>
                <w:sz w:val="21"/>
                <w:szCs w:val="21"/>
                <w:highlight w:val="none"/>
              </w:rPr>
              <w:t>本级支出</w:t>
            </w:r>
          </w:p>
        </w:tc>
        <w:tc>
          <w:tcPr>
            <w:tcW w:w="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Fonts w:hint="default" w:eastAsia="宋体"/>
                <w:b/>
                <w:bCs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/>
                <w:b/>
                <w:bCs/>
                <w:color w:val="auto"/>
                <w:sz w:val="21"/>
                <w:szCs w:val="21"/>
                <w:highlight w:val="none"/>
                <w:lang w:val="en-US" w:eastAsia="zh-CN"/>
              </w:rPr>
              <w:t>149245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Fonts w:hint="default" w:eastAsia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/>
                <w:b/>
                <w:bCs/>
                <w:color w:val="auto"/>
                <w:sz w:val="21"/>
                <w:szCs w:val="21"/>
                <w:highlight w:val="none"/>
                <w:lang w:val="en-US" w:eastAsia="zh-CN"/>
              </w:rPr>
              <w:t>124450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Fonts w:hint="default" w:eastAsia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/>
                <w:b/>
                <w:bCs/>
                <w:color w:val="auto"/>
                <w:sz w:val="21"/>
                <w:szCs w:val="21"/>
                <w:highlight w:val="none"/>
                <w:lang w:val="en-US" w:eastAsia="zh-CN"/>
              </w:rPr>
              <w:t>273695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6" w:hRule="atLeast"/>
          <w:jc w:val="center"/>
        </w:trPr>
        <w:tc>
          <w:tcPr>
            <w:tcW w:w="4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textAlignment w:val="center"/>
              <w:rPr>
                <w:b/>
                <w:bCs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/>
                <w:b/>
                <w:bCs/>
                <w:color w:val="auto"/>
                <w:sz w:val="21"/>
                <w:szCs w:val="21"/>
                <w:highlight w:val="none"/>
              </w:rPr>
              <w:t>转移性收入</w:t>
            </w:r>
          </w:p>
        </w:tc>
        <w:tc>
          <w:tcPr>
            <w:tcW w:w="10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Fonts w:hint="default" w:eastAsia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/>
                <w:b/>
                <w:bCs/>
                <w:color w:val="auto"/>
                <w:sz w:val="21"/>
                <w:szCs w:val="21"/>
                <w:highlight w:val="none"/>
                <w:lang w:val="en-US" w:eastAsia="zh-CN"/>
              </w:rPr>
              <w:t>51505</w:t>
            </w:r>
          </w:p>
        </w:tc>
        <w:tc>
          <w:tcPr>
            <w:tcW w:w="1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default" w:eastAsia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Fonts w:hint="default" w:eastAsia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/>
                <w:b/>
                <w:bCs/>
                <w:color w:val="auto"/>
                <w:sz w:val="21"/>
                <w:szCs w:val="21"/>
                <w:highlight w:val="none"/>
                <w:lang w:val="en-US" w:eastAsia="zh-CN"/>
              </w:rPr>
              <w:t>51505</w:t>
            </w:r>
          </w:p>
        </w:tc>
        <w:tc>
          <w:tcPr>
            <w:tcW w:w="3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textAlignment w:val="center"/>
              <w:rPr>
                <w:b/>
                <w:bCs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/>
                <w:b/>
                <w:bCs/>
                <w:color w:val="auto"/>
                <w:sz w:val="21"/>
                <w:szCs w:val="21"/>
                <w:highlight w:val="none"/>
              </w:rPr>
              <w:t>转移性支出</w:t>
            </w:r>
          </w:p>
        </w:tc>
        <w:tc>
          <w:tcPr>
            <w:tcW w:w="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default" w:eastAsia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/>
                <w:b/>
                <w:bCs/>
                <w:color w:val="auto"/>
                <w:sz w:val="21"/>
                <w:szCs w:val="21"/>
                <w:highlight w:val="none"/>
                <w:lang w:val="en-US" w:eastAsia="zh-CN"/>
              </w:rPr>
              <w:t>47510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/>
                <w:b/>
                <w:bCs/>
                <w:color w:val="auto"/>
                <w:sz w:val="21"/>
                <w:szCs w:val="21"/>
                <w:highlight w:val="none"/>
                <w:lang w:val="en-US" w:eastAsia="zh-CN"/>
              </w:rPr>
              <w:t>1300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Fonts w:hint="default" w:eastAsia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/>
                <w:b/>
                <w:bCs/>
                <w:color w:val="auto"/>
                <w:sz w:val="21"/>
                <w:szCs w:val="21"/>
                <w:highlight w:val="none"/>
                <w:lang w:val="en-US" w:eastAsia="zh-CN"/>
              </w:rPr>
              <w:t>48810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6" w:hRule="atLeast"/>
          <w:jc w:val="center"/>
        </w:trPr>
        <w:tc>
          <w:tcPr>
            <w:tcW w:w="4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</w:rPr>
              <w:t xml:space="preserve">  政府性基金转移收入</w:t>
            </w:r>
          </w:p>
        </w:tc>
        <w:tc>
          <w:tcPr>
            <w:tcW w:w="10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Fonts w:hint="default" w:eastAsia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  <w:t>11967</w:t>
            </w:r>
          </w:p>
        </w:tc>
        <w:tc>
          <w:tcPr>
            <w:tcW w:w="1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default" w:eastAsia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Fonts w:hint="default" w:eastAsia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  <w:t>11967</w:t>
            </w:r>
          </w:p>
        </w:tc>
        <w:tc>
          <w:tcPr>
            <w:tcW w:w="3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</w:rPr>
              <w:t xml:space="preserve">  政府性基金转移支付</w:t>
            </w:r>
          </w:p>
        </w:tc>
        <w:tc>
          <w:tcPr>
            <w:tcW w:w="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6" w:hRule="atLeast"/>
          <w:jc w:val="center"/>
        </w:trPr>
        <w:tc>
          <w:tcPr>
            <w:tcW w:w="4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</w:rPr>
              <w:t xml:space="preserve">    政府性基金补助收入</w:t>
            </w:r>
          </w:p>
        </w:tc>
        <w:tc>
          <w:tcPr>
            <w:tcW w:w="10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Fonts w:hint="default" w:eastAsia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  <w:t>11967</w:t>
            </w:r>
          </w:p>
        </w:tc>
        <w:tc>
          <w:tcPr>
            <w:tcW w:w="1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default" w:eastAsia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Fonts w:hint="default" w:eastAsia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  <w:t>11967</w:t>
            </w:r>
          </w:p>
        </w:tc>
        <w:tc>
          <w:tcPr>
            <w:tcW w:w="3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</w:rPr>
              <w:t xml:space="preserve">    政府性基金补助支出</w:t>
            </w:r>
          </w:p>
        </w:tc>
        <w:tc>
          <w:tcPr>
            <w:tcW w:w="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6" w:hRule="atLeast"/>
          <w:jc w:val="center"/>
        </w:trPr>
        <w:tc>
          <w:tcPr>
            <w:tcW w:w="4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</w:rPr>
              <w:t xml:space="preserve">    政府性基金上解收入</w:t>
            </w:r>
          </w:p>
        </w:tc>
        <w:tc>
          <w:tcPr>
            <w:tcW w:w="10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1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3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</w:rPr>
              <w:t xml:space="preserve">    政府性基金上解支出</w:t>
            </w:r>
          </w:p>
        </w:tc>
        <w:tc>
          <w:tcPr>
            <w:tcW w:w="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6" w:hRule="atLeast"/>
          <w:jc w:val="center"/>
        </w:trPr>
        <w:tc>
          <w:tcPr>
            <w:tcW w:w="4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</w:rPr>
              <w:t xml:space="preserve">  上年结余收入</w:t>
            </w:r>
          </w:p>
        </w:tc>
        <w:tc>
          <w:tcPr>
            <w:tcW w:w="10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Fonts w:hint="default" w:eastAsia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  <w:t>39538</w:t>
            </w:r>
          </w:p>
        </w:tc>
        <w:tc>
          <w:tcPr>
            <w:tcW w:w="1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eastAsia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Fonts w:hint="default" w:eastAsia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bookmarkStart w:id="6" w:name="OLE_LINK10"/>
            <w:r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  <w:t>39538</w:t>
            </w:r>
            <w:bookmarkEnd w:id="6"/>
          </w:p>
        </w:tc>
        <w:tc>
          <w:tcPr>
            <w:tcW w:w="3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</w:rPr>
              <w:t xml:space="preserve"> 调出资金</w:t>
            </w:r>
          </w:p>
        </w:tc>
        <w:tc>
          <w:tcPr>
            <w:tcW w:w="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6" w:hRule="atLeast"/>
          <w:jc w:val="center"/>
        </w:trPr>
        <w:tc>
          <w:tcPr>
            <w:tcW w:w="4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</w:rPr>
              <w:t xml:space="preserve">  调入资金</w:t>
            </w:r>
          </w:p>
        </w:tc>
        <w:tc>
          <w:tcPr>
            <w:tcW w:w="10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1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3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</w:rPr>
              <w:t xml:space="preserve"> 年终结余</w:t>
            </w:r>
          </w:p>
        </w:tc>
        <w:tc>
          <w:tcPr>
            <w:tcW w:w="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6" w:hRule="atLeast"/>
          <w:jc w:val="center"/>
        </w:trPr>
        <w:tc>
          <w:tcPr>
            <w:tcW w:w="4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</w:rPr>
              <w:t xml:space="preserve">    其中：地方政府性基金调入专项收入</w:t>
            </w:r>
          </w:p>
        </w:tc>
        <w:tc>
          <w:tcPr>
            <w:tcW w:w="10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1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3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</w:rPr>
              <w:t xml:space="preserve"> 地方政府专项债务还本支出</w:t>
            </w:r>
          </w:p>
        </w:tc>
        <w:tc>
          <w:tcPr>
            <w:tcW w:w="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default" w:eastAsia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  <w:t>47510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  <w:t>1300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Fonts w:hint="default" w:eastAsia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  <w:t>48810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6" w:hRule="atLeast"/>
          <w:jc w:val="center"/>
        </w:trPr>
        <w:tc>
          <w:tcPr>
            <w:tcW w:w="4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</w:rPr>
              <w:t xml:space="preserve">  抗役特别国债收入</w:t>
            </w:r>
          </w:p>
        </w:tc>
        <w:tc>
          <w:tcPr>
            <w:tcW w:w="10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1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3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6" w:hRule="atLeast"/>
          <w:jc w:val="center"/>
        </w:trPr>
        <w:tc>
          <w:tcPr>
            <w:tcW w:w="4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textAlignment w:val="center"/>
              <w:rPr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/>
                <w:color w:val="000000"/>
                <w:sz w:val="21"/>
                <w:szCs w:val="21"/>
                <w:highlight w:val="none"/>
              </w:rPr>
              <w:t xml:space="preserve">  地方政府专项债务收入</w:t>
            </w:r>
          </w:p>
        </w:tc>
        <w:tc>
          <w:tcPr>
            <w:tcW w:w="10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b/>
                <w:bCs/>
                <w:color w:val="00000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/>
                <w:b/>
                <w:bCs/>
                <w:color w:val="000000"/>
                <w:sz w:val="21"/>
                <w:szCs w:val="21"/>
                <w:highlight w:val="none"/>
                <w:lang w:val="en-US" w:eastAsia="zh-CN"/>
              </w:rPr>
              <w:t>42700</w:t>
            </w:r>
          </w:p>
        </w:tc>
        <w:tc>
          <w:tcPr>
            <w:tcW w:w="1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color w:val="00000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/>
                <w:b/>
                <w:bCs/>
                <w:color w:val="000000"/>
                <w:sz w:val="21"/>
                <w:szCs w:val="21"/>
                <w:highlight w:val="none"/>
                <w:lang w:val="en-US" w:eastAsia="zh-CN"/>
              </w:rPr>
              <w:t>158300</w:t>
            </w:r>
          </w:p>
        </w:tc>
        <w:tc>
          <w:tcPr>
            <w:tcW w:w="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color w:val="00000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/>
                <w:b/>
                <w:bCs/>
                <w:color w:val="000000"/>
                <w:sz w:val="21"/>
                <w:szCs w:val="21"/>
                <w:highlight w:val="none"/>
                <w:lang w:val="en-US" w:eastAsia="zh-CN"/>
              </w:rPr>
              <w:t>201000</w:t>
            </w:r>
          </w:p>
        </w:tc>
        <w:tc>
          <w:tcPr>
            <w:tcW w:w="3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textAlignment w:val="center"/>
              <w:rPr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/>
                <w:color w:val="000000"/>
                <w:sz w:val="21"/>
                <w:szCs w:val="21"/>
                <w:highlight w:val="none"/>
              </w:rPr>
              <w:t xml:space="preserve"> 地方政府专项债务转贷支出</w:t>
            </w:r>
          </w:p>
        </w:tc>
        <w:tc>
          <w:tcPr>
            <w:tcW w:w="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color w:val="000000"/>
                <w:sz w:val="21"/>
                <w:szCs w:val="21"/>
                <w:highlight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6" w:hRule="atLeast"/>
          <w:jc w:val="center"/>
        </w:trPr>
        <w:tc>
          <w:tcPr>
            <w:tcW w:w="4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textAlignment w:val="center"/>
              <w:rPr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/>
                <w:color w:val="000000"/>
                <w:sz w:val="21"/>
                <w:szCs w:val="21"/>
                <w:highlight w:val="none"/>
              </w:rPr>
              <w:t xml:space="preserve">  地方政府专项债务转贷收入</w:t>
            </w:r>
          </w:p>
        </w:tc>
        <w:tc>
          <w:tcPr>
            <w:tcW w:w="10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default" w:eastAsia="宋体"/>
                <w:b w:val="0"/>
                <w:bCs w:val="0"/>
                <w:color w:val="00000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000000"/>
                <w:sz w:val="21"/>
                <w:szCs w:val="21"/>
                <w:highlight w:val="none"/>
                <w:lang w:val="en-US" w:eastAsia="zh-CN"/>
              </w:rPr>
              <w:t>42700</w:t>
            </w:r>
          </w:p>
        </w:tc>
        <w:tc>
          <w:tcPr>
            <w:tcW w:w="1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Fonts w:hint="default" w:eastAsia="宋体"/>
                <w:b w:val="0"/>
                <w:bCs w:val="0"/>
                <w:color w:val="00000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000000"/>
                <w:sz w:val="21"/>
                <w:szCs w:val="21"/>
                <w:highlight w:val="none"/>
                <w:lang w:val="en-US" w:eastAsia="zh-CN"/>
              </w:rPr>
              <w:t>158300</w:t>
            </w:r>
          </w:p>
        </w:tc>
        <w:tc>
          <w:tcPr>
            <w:tcW w:w="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Fonts w:hint="default" w:eastAsia="宋体"/>
                <w:b w:val="0"/>
                <w:bCs w:val="0"/>
                <w:color w:val="000000"/>
                <w:sz w:val="21"/>
                <w:szCs w:val="21"/>
                <w:highlight w:val="none"/>
                <w:lang w:val="en-US" w:eastAsia="zh-CN"/>
              </w:rPr>
            </w:pPr>
            <w:bookmarkStart w:id="7" w:name="OLE_LINK7"/>
            <w:r>
              <w:rPr>
                <w:rFonts w:hint="eastAsia"/>
                <w:b w:val="0"/>
                <w:bCs w:val="0"/>
                <w:color w:val="000000"/>
                <w:sz w:val="21"/>
                <w:szCs w:val="21"/>
                <w:highlight w:val="none"/>
                <w:lang w:val="en-US" w:eastAsia="zh-CN"/>
              </w:rPr>
              <w:t>201000</w:t>
            </w:r>
            <w:bookmarkEnd w:id="7"/>
          </w:p>
        </w:tc>
        <w:tc>
          <w:tcPr>
            <w:tcW w:w="3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color w:val="000000"/>
                <w:sz w:val="21"/>
                <w:szCs w:val="21"/>
                <w:highlight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6" w:hRule="atLeast"/>
          <w:jc w:val="center"/>
        </w:trPr>
        <w:tc>
          <w:tcPr>
            <w:tcW w:w="4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both"/>
              <w:textAlignment w:val="center"/>
              <w:rPr>
                <w:b/>
                <w:bCs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/>
                <w:b/>
                <w:bCs/>
                <w:color w:val="000000"/>
                <w:sz w:val="21"/>
                <w:szCs w:val="21"/>
                <w:highlight w:val="none"/>
              </w:rPr>
              <w:t>收入总计</w:t>
            </w:r>
          </w:p>
        </w:tc>
        <w:tc>
          <w:tcPr>
            <w:tcW w:w="10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Fonts w:hint="default" w:eastAsia="宋体"/>
                <w:color w:val="00000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/>
                <w:b/>
                <w:bCs/>
                <w:color w:val="000000"/>
                <w:sz w:val="21"/>
                <w:szCs w:val="21"/>
                <w:highlight w:val="none"/>
                <w:lang w:val="en-US" w:eastAsia="zh-CN"/>
              </w:rPr>
              <w:t>196755</w:t>
            </w:r>
          </w:p>
        </w:tc>
        <w:tc>
          <w:tcPr>
            <w:tcW w:w="1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Fonts w:hint="default" w:eastAsia="宋体"/>
                <w:color w:val="00000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/>
                <w:b/>
                <w:bCs/>
                <w:color w:val="000000"/>
                <w:sz w:val="21"/>
                <w:szCs w:val="21"/>
                <w:highlight w:val="none"/>
                <w:lang w:val="en-US" w:eastAsia="zh-CN"/>
              </w:rPr>
              <w:t>125750</w:t>
            </w:r>
          </w:p>
        </w:tc>
        <w:tc>
          <w:tcPr>
            <w:tcW w:w="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Fonts w:hint="default" w:eastAsia="宋体"/>
                <w:color w:val="00000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/>
                <w:b/>
                <w:bCs/>
                <w:color w:val="000000"/>
                <w:sz w:val="21"/>
                <w:szCs w:val="21"/>
                <w:highlight w:val="none"/>
                <w:lang w:val="en-US" w:eastAsia="zh-CN"/>
              </w:rPr>
              <w:t>322505</w:t>
            </w:r>
          </w:p>
        </w:tc>
        <w:tc>
          <w:tcPr>
            <w:tcW w:w="3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both"/>
              <w:textAlignment w:val="center"/>
              <w:rPr>
                <w:b/>
                <w:bCs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/>
                <w:b/>
                <w:bCs/>
                <w:color w:val="000000"/>
                <w:sz w:val="21"/>
                <w:szCs w:val="21"/>
                <w:highlight w:val="none"/>
              </w:rPr>
              <w:t>支出总计</w:t>
            </w:r>
          </w:p>
        </w:tc>
        <w:tc>
          <w:tcPr>
            <w:tcW w:w="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Fonts w:hint="default" w:eastAsia="宋体"/>
                <w:b/>
                <w:bCs/>
                <w:color w:val="00000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/>
                <w:b/>
                <w:bCs/>
                <w:color w:val="000000"/>
                <w:sz w:val="21"/>
                <w:szCs w:val="21"/>
                <w:highlight w:val="none"/>
                <w:lang w:val="en-US" w:eastAsia="zh-CN"/>
              </w:rPr>
              <w:t>196755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Fonts w:hint="default" w:eastAsia="宋体"/>
                <w:color w:val="00000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/>
                <w:b/>
                <w:bCs/>
                <w:color w:val="000000"/>
                <w:sz w:val="21"/>
                <w:szCs w:val="21"/>
                <w:highlight w:val="none"/>
                <w:lang w:val="en-US" w:eastAsia="zh-CN"/>
              </w:rPr>
              <w:t>125750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Fonts w:hint="default" w:eastAsia="宋体"/>
                <w:color w:val="00000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/>
                <w:b/>
                <w:bCs/>
                <w:color w:val="000000"/>
                <w:sz w:val="21"/>
                <w:szCs w:val="21"/>
                <w:highlight w:val="none"/>
                <w:lang w:val="en-US" w:eastAsia="zh-CN"/>
              </w:rPr>
              <w:t>322505</w:t>
            </w:r>
          </w:p>
        </w:tc>
      </w:tr>
    </w:tbl>
    <w:p>
      <w:pPr>
        <w:widowControl w:val="0"/>
        <w:snapToGrid w:val="0"/>
        <w:spacing w:line="20" w:lineRule="exact"/>
        <w:jc w:val="both"/>
        <w:rPr>
          <w:rFonts w:eastAsia="仿宋"/>
          <w:sz w:val="32"/>
          <w:szCs w:val="32"/>
          <w:highlight w:val="none"/>
        </w:rPr>
      </w:pPr>
    </w:p>
    <w:tbl>
      <w:tblPr>
        <w:tblStyle w:val="4"/>
        <w:tblpPr w:leftFromText="180" w:rightFromText="180" w:vertAnchor="text" w:horzAnchor="margin" w:tblpX="122" w:tblpY="31"/>
        <w:tblOverlap w:val="never"/>
        <w:tblW w:w="13242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20"/>
        <w:gridCol w:w="2560"/>
        <w:gridCol w:w="2516"/>
        <w:gridCol w:w="2046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3242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spacing w:line="600" w:lineRule="exact"/>
              <w:textAlignment w:val="center"/>
              <w:rPr>
                <w:rFonts w:eastAsia="方正小标宋简体" w:cs="方正小标宋简体"/>
                <w:b/>
                <w:bCs/>
                <w:color w:val="000000"/>
                <w:sz w:val="44"/>
                <w:szCs w:val="44"/>
                <w:highlight w:val="none"/>
              </w:rPr>
            </w:pPr>
            <w:r>
              <w:rPr>
                <w:rFonts w:hint="eastAsia" w:eastAsia="黑体" w:cs="黑体"/>
                <w:color w:val="000000"/>
                <w:sz w:val="32"/>
                <w:szCs w:val="32"/>
                <w:highlight w:val="none"/>
              </w:rPr>
              <w:t>附件4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3242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spacing w:line="600" w:lineRule="exact"/>
              <w:jc w:val="center"/>
              <w:textAlignment w:val="center"/>
              <w:rPr>
                <w:rFonts w:hint="default" w:eastAsia="宋体" w:cs="黑体"/>
                <w:bCs/>
                <w:color w:val="000000"/>
                <w:sz w:val="44"/>
                <w:szCs w:val="44"/>
                <w:highlight w:val="none"/>
                <w:lang w:val="en-US" w:eastAsia="zh-CN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b w:val="0"/>
                <w:bCs w:val="0"/>
                <w:color w:val="000000"/>
                <w:sz w:val="44"/>
                <w:szCs w:val="44"/>
                <w:highlight w:val="none"/>
                <w:lang w:eastAsia="zh-CN"/>
              </w:rPr>
              <w:t>2025年</w:t>
            </w:r>
            <w:r>
              <w:rPr>
                <w:rFonts w:hint="eastAsia" w:ascii="方正小标宋简体" w:hAnsi="方正小标宋简体" w:eastAsia="方正小标宋简体" w:cs="方正小标宋简体"/>
                <w:b w:val="0"/>
                <w:bCs w:val="0"/>
                <w:color w:val="000000"/>
                <w:sz w:val="44"/>
                <w:szCs w:val="44"/>
                <w:highlight w:val="none"/>
              </w:rPr>
              <w:t>政府性基金支出预算调整</w:t>
            </w:r>
            <w:r>
              <w:rPr>
                <w:rFonts w:hint="eastAsia" w:ascii="方正小标宋简体" w:hAnsi="方正小标宋简体" w:eastAsia="方正小标宋简体" w:cs="方正小标宋简体"/>
                <w:b w:val="0"/>
                <w:bCs w:val="0"/>
                <w:color w:val="000000"/>
                <w:sz w:val="44"/>
                <w:szCs w:val="44"/>
                <w:highlight w:val="none"/>
                <w:lang w:val="en-US" w:eastAsia="zh-CN"/>
              </w:rPr>
              <w:t>方案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>
            <w:pPr>
              <w:rPr>
                <w:rFonts w:eastAsia="黑体" w:cs="黑体"/>
                <w:color w:val="000000"/>
                <w:highlight w:val="none"/>
              </w:rPr>
            </w:pPr>
          </w:p>
        </w:tc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>
            <w:pPr>
              <w:jc w:val="center"/>
              <w:rPr>
                <w:color w:val="000000"/>
                <w:highlight w:val="none"/>
              </w:rPr>
            </w:pPr>
          </w:p>
        </w:tc>
        <w:tc>
          <w:tcPr>
            <w:tcW w:w="25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>
            <w:pPr>
              <w:jc w:val="center"/>
              <w:rPr>
                <w:color w:val="000000"/>
                <w:highlight w:val="none"/>
              </w:rPr>
            </w:pPr>
          </w:p>
        </w:tc>
        <w:tc>
          <w:tcPr>
            <w:tcW w:w="20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>
            <w:pPr>
              <w:jc w:val="center"/>
              <w:textAlignment w:val="bottom"/>
              <w:rPr>
                <w:color w:val="000000"/>
                <w:sz w:val="20"/>
                <w:szCs w:val="20"/>
                <w:highlight w:val="none"/>
              </w:rPr>
            </w:pPr>
            <w:r>
              <w:rPr>
                <w:rFonts w:hint="eastAsia"/>
                <w:color w:val="000000"/>
                <w:highlight w:val="none"/>
              </w:rPr>
              <w:t xml:space="preserve">       </w:t>
            </w:r>
            <w:r>
              <w:rPr>
                <w:rFonts w:hint="eastAsia"/>
                <w:color w:val="000000"/>
                <w:sz w:val="20"/>
                <w:szCs w:val="20"/>
                <w:highlight w:val="none"/>
              </w:rPr>
              <w:t>单位：万元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0" w:hRule="atLeast"/>
        </w:trPr>
        <w:tc>
          <w:tcPr>
            <w:tcW w:w="612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Fonts w:hint="eastAsia" w:ascii="黑体" w:hAnsi="黑体" w:eastAsia="黑体" w:cs="黑体"/>
                <w:b w:val="0"/>
                <w:bCs w:val="0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000000"/>
                <w:sz w:val="24"/>
                <w:szCs w:val="24"/>
                <w:highlight w:val="none"/>
              </w:rPr>
              <w:t>项    目</w:t>
            </w:r>
          </w:p>
        </w:tc>
        <w:tc>
          <w:tcPr>
            <w:tcW w:w="2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Fonts w:hint="eastAsia" w:ascii="黑体" w:hAnsi="黑体" w:eastAsia="黑体" w:cs="黑体"/>
                <w:b w:val="0"/>
                <w:bCs w:val="0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000000"/>
                <w:sz w:val="24"/>
                <w:szCs w:val="24"/>
                <w:highlight w:val="none"/>
              </w:rPr>
              <w:t>年初预算数</w:t>
            </w:r>
          </w:p>
        </w:tc>
        <w:tc>
          <w:tcPr>
            <w:tcW w:w="2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Fonts w:hint="eastAsia" w:ascii="黑体" w:hAnsi="黑体" w:eastAsia="黑体" w:cs="黑体"/>
                <w:b w:val="0"/>
                <w:bCs w:val="0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000000"/>
                <w:sz w:val="24"/>
                <w:szCs w:val="24"/>
                <w:highlight w:val="none"/>
              </w:rPr>
              <w:t>调增（+）</w:t>
            </w:r>
          </w:p>
          <w:p>
            <w:pPr>
              <w:jc w:val="center"/>
              <w:textAlignment w:val="center"/>
              <w:rPr>
                <w:rFonts w:hint="eastAsia" w:ascii="黑体" w:hAnsi="黑体" w:eastAsia="黑体" w:cs="黑体"/>
                <w:b w:val="0"/>
                <w:bCs w:val="0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000000"/>
                <w:sz w:val="24"/>
                <w:szCs w:val="24"/>
                <w:highlight w:val="none"/>
              </w:rPr>
              <w:t>调减（-）</w:t>
            </w:r>
          </w:p>
        </w:tc>
        <w:tc>
          <w:tcPr>
            <w:tcW w:w="20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Fonts w:hint="eastAsia" w:ascii="黑体" w:hAnsi="黑体" w:eastAsia="黑体" w:cs="黑体"/>
                <w:b w:val="0"/>
                <w:bCs w:val="0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000000"/>
                <w:sz w:val="24"/>
                <w:szCs w:val="24"/>
                <w:highlight w:val="none"/>
              </w:rPr>
              <w:t>调整预算数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7" w:hRule="atLeast"/>
        </w:trPr>
        <w:tc>
          <w:tcPr>
            <w:tcW w:w="6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textAlignment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  <w:highlight w:val="none"/>
              </w:rPr>
              <w:t>207、文化旅游体育与传媒支出</w:t>
            </w:r>
          </w:p>
        </w:tc>
        <w:tc>
          <w:tcPr>
            <w:tcW w:w="2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</w:t>
            </w:r>
          </w:p>
        </w:tc>
        <w:tc>
          <w:tcPr>
            <w:tcW w:w="2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20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2" w:hRule="atLeast"/>
        </w:trPr>
        <w:tc>
          <w:tcPr>
            <w:tcW w:w="6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textAlignment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  <w:highlight w:val="none"/>
              </w:rPr>
              <w:t>208、社会保障和就业支出</w:t>
            </w:r>
          </w:p>
        </w:tc>
        <w:tc>
          <w:tcPr>
            <w:tcW w:w="2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eastAsia="zh-CN"/>
              </w:rPr>
            </w:pPr>
          </w:p>
        </w:tc>
        <w:tc>
          <w:tcPr>
            <w:tcW w:w="2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20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6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textAlignment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  <w:highlight w:val="none"/>
              </w:rPr>
              <w:t>211、节能环保支出</w:t>
            </w:r>
          </w:p>
        </w:tc>
        <w:tc>
          <w:tcPr>
            <w:tcW w:w="2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20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</w:trPr>
        <w:tc>
          <w:tcPr>
            <w:tcW w:w="6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textAlignment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  <w:highlight w:val="none"/>
              </w:rPr>
            </w:pPr>
            <w:bookmarkStart w:id="8" w:name="OLE_LINK8" w:colFirst="3" w:colLast="3"/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  <w:highlight w:val="none"/>
              </w:rPr>
              <w:t>212、城乡社区支出</w:t>
            </w:r>
          </w:p>
        </w:tc>
        <w:tc>
          <w:tcPr>
            <w:tcW w:w="2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84188</w:t>
            </w:r>
          </w:p>
        </w:tc>
        <w:tc>
          <w:tcPr>
            <w:tcW w:w="2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  <w:r>
              <w:rPr>
                <w:rFonts w:hint="eastAsia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40950</w:t>
            </w:r>
          </w:p>
        </w:tc>
        <w:tc>
          <w:tcPr>
            <w:tcW w:w="20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  <w:r>
              <w:rPr>
                <w:rFonts w:hint="eastAsia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3238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6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textAlignment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  <w:highlight w:val="none"/>
              </w:rPr>
              <w:t>213、农林水支出</w:t>
            </w:r>
          </w:p>
        </w:tc>
        <w:tc>
          <w:tcPr>
            <w:tcW w:w="2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1490</w:t>
            </w:r>
          </w:p>
        </w:tc>
        <w:tc>
          <w:tcPr>
            <w:tcW w:w="2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20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1490</w:t>
            </w:r>
          </w:p>
        </w:tc>
      </w:tr>
      <w:bookmarkEnd w:id="8"/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6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textAlignment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  <w:highlight w:val="none"/>
              </w:rPr>
              <w:t>214、交通运输支出</w:t>
            </w:r>
          </w:p>
        </w:tc>
        <w:tc>
          <w:tcPr>
            <w:tcW w:w="2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20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6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textAlignment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  <w:highlight w:val="none"/>
              </w:rPr>
              <w:t>215、资源勘探工业信息等支出</w:t>
            </w:r>
          </w:p>
        </w:tc>
        <w:tc>
          <w:tcPr>
            <w:tcW w:w="2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20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6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textAlignment w:val="center"/>
              <w:rPr>
                <w:rFonts w:hint="default" w:ascii="宋体" w:hAnsi="宋体" w:eastAsia="宋体" w:cs="宋体"/>
                <w:color w:val="000000"/>
                <w:sz w:val="21"/>
                <w:szCs w:val="21"/>
                <w:highlight w:val="none"/>
                <w:lang w:val="en-US" w:eastAsia="zh-CN"/>
              </w:rPr>
            </w:pPr>
            <w:bookmarkStart w:id="9" w:name="OLE_LINK9" w:colFirst="3" w:colLast="3"/>
            <w:r>
              <w:rPr>
                <w:rFonts w:hint="eastAsia" w:cs="宋体"/>
                <w:color w:val="000000"/>
                <w:sz w:val="21"/>
                <w:szCs w:val="21"/>
                <w:highlight w:val="none"/>
                <w:lang w:val="en-US" w:eastAsia="zh-CN"/>
              </w:rPr>
              <w:t>224、灾害防治及应急管理支出</w:t>
            </w:r>
          </w:p>
        </w:tc>
        <w:tc>
          <w:tcPr>
            <w:tcW w:w="2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31110</w:t>
            </w:r>
          </w:p>
        </w:tc>
        <w:tc>
          <w:tcPr>
            <w:tcW w:w="2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20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31110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6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textAlignment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  <w:highlight w:val="none"/>
              </w:rPr>
              <w:t>229、其他支出</w:t>
            </w:r>
          </w:p>
        </w:tc>
        <w:tc>
          <w:tcPr>
            <w:tcW w:w="2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13085</w:t>
            </w:r>
          </w:p>
        </w:tc>
        <w:tc>
          <w:tcPr>
            <w:tcW w:w="2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  <w:r>
              <w:rPr>
                <w:rFonts w:hint="eastAsia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00</w:t>
            </w:r>
          </w:p>
        </w:tc>
        <w:tc>
          <w:tcPr>
            <w:tcW w:w="20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  <w:r>
              <w:rPr>
                <w:rFonts w:hint="eastAsia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71085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6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textAlignment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  <w:highlight w:val="none"/>
              </w:rPr>
              <w:t>232、债务付息支出</w:t>
            </w:r>
          </w:p>
        </w:tc>
        <w:tc>
          <w:tcPr>
            <w:tcW w:w="2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19215</w:t>
            </w:r>
          </w:p>
        </w:tc>
        <w:tc>
          <w:tcPr>
            <w:tcW w:w="2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8234</w:t>
            </w:r>
          </w:p>
        </w:tc>
        <w:tc>
          <w:tcPr>
            <w:tcW w:w="20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  <w:r>
              <w:rPr>
                <w:rFonts w:hint="eastAsia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7449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6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textAlignment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  <w:highlight w:val="none"/>
              </w:rPr>
              <w:t>233、债务发行费用支出</w:t>
            </w:r>
          </w:p>
        </w:tc>
        <w:tc>
          <w:tcPr>
            <w:tcW w:w="2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127</w:t>
            </w:r>
          </w:p>
        </w:tc>
        <w:tc>
          <w:tcPr>
            <w:tcW w:w="2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166</w:t>
            </w:r>
          </w:p>
        </w:tc>
        <w:tc>
          <w:tcPr>
            <w:tcW w:w="20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  <w:r>
              <w:rPr>
                <w:rFonts w:hint="eastAsia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</w:t>
            </w:r>
          </w:p>
        </w:tc>
      </w:tr>
      <w:bookmarkEnd w:id="9"/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6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rPr>
                <w:rFonts w:hint="eastAsia" w:ascii="宋体" w:hAnsi="宋体" w:eastAsia="宋体" w:cs="宋体"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2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2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20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6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both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21"/>
                <w:szCs w:val="21"/>
                <w:highlight w:val="none"/>
              </w:rPr>
              <w:t>支出总计</w:t>
            </w:r>
          </w:p>
        </w:tc>
        <w:tc>
          <w:tcPr>
            <w:tcW w:w="2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21"/>
                <w:szCs w:val="21"/>
                <w:highlight w:val="none"/>
                <w:lang w:val="en-US" w:eastAsia="zh-CN"/>
              </w:rPr>
              <w:t>1</w:t>
            </w:r>
            <w:r>
              <w:rPr>
                <w:rFonts w:hint="eastAsia" w:cs="宋体"/>
                <w:b/>
                <w:bCs/>
                <w:color w:val="000000"/>
                <w:sz w:val="21"/>
                <w:szCs w:val="21"/>
                <w:highlight w:val="none"/>
                <w:lang w:val="en-US" w:eastAsia="zh-CN"/>
              </w:rPr>
              <w:t>49245</w:t>
            </w:r>
          </w:p>
        </w:tc>
        <w:tc>
          <w:tcPr>
            <w:tcW w:w="2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cs="宋体"/>
                <w:b/>
                <w:bCs/>
                <w:color w:val="000000"/>
                <w:sz w:val="21"/>
                <w:szCs w:val="21"/>
                <w:highlight w:val="none"/>
                <w:lang w:val="en-US" w:eastAsia="zh-CN"/>
              </w:rPr>
              <w:t>124450</w:t>
            </w:r>
          </w:p>
        </w:tc>
        <w:tc>
          <w:tcPr>
            <w:tcW w:w="20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/>
              </w:rPr>
              <w:t>273695</w:t>
            </w:r>
          </w:p>
        </w:tc>
      </w:tr>
    </w:tbl>
    <w:p>
      <w:pPr>
        <w:widowControl w:val="0"/>
        <w:snapToGrid w:val="0"/>
        <w:spacing w:line="20" w:lineRule="exact"/>
        <w:jc w:val="both"/>
        <w:rPr>
          <w:rFonts w:eastAsia="仿宋"/>
          <w:sz w:val="32"/>
          <w:szCs w:val="32"/>
          <w:highlight w:val="none"/>
        </w:rPr>
      </w:pPr>
    </w:p>
    <w:p>
      <w:pPr>
        <w:widowControl w:val="0"/>
        <w:snapToGrid w:val="0"/>
        <w:spacing w:line="20" w:lineRule="exact"/>
        <w:jc w:val="both"/>
        <w:rPr>
          <w:rFonts w:eastAsia="仿宋"/>
          <w:sz w:val="32"/>
          <w:szCs w:val="32"/>
          <w:highlight w:val="none"/>
        </w:rPr>
      </w:pPr>
    </w:p>
    <w:p>
      <w:pPr>
        <w:widowControl w:val="0"/>
        <w:snapToGrid w:val="0"/>
        <w:spacing w:line="20" w:lineRule="exact"/>
        <w:jc w:val="both"/>
        <w:rPr>
          <w:rFonts w:eastAsia="仿宋"/>
          <w:sz w:val="32"/>
          <w:szCs w:val="32"/>
          <w:highlight w:val="none"/>
        </w:rPr>
      </w:pPr>
    </w:p>
    <w:p>
      <w:pPr>
        <w:widowControl w:val="0"/>
        <w:snapToGrid w:val="0"/>
        <w:spacing w:line="20" w:lineRule="exact"/>
        <w:jc w:val="both"/>
        <w:rPr>
          <w:rFonts w:hint="eastAsia" w:eastAsia="仿宋"/>
          <w:sz w:val="32"/>
          <w:szCs w:val="32"/>
          <w:highlight w:val="none"/>
          <w:lang w:val="en-US" w:eastAsia="zh-CN"/>
        </w:rPr>
      </w:pPr>
    </w:p>
    <w:p>
      <w:pPr>
        <w:widowControl w:val="0"/>
        <w:snapToGrid w:val="0"/>
        <w:spacing w:line="20" w:lineRule="exact"/>
        <w:jc w:val="both"/>
        <w:rPr>
          <w:rFonts w:hint="default" w:eastAsia="仿宋"/>
          <w:sz w:val="32"/>
          <w:szCs w:val="32"/>
          <w:highlight w:val="none"/>
          <w:lang w:val="en-US" w:eastAsia="zh-CN"/>
        </w:rPr>
      </w:pPr>
    </w:p>
    <w:p>
      <w:pPr>
        <w:widowControl w:val="0"/>
        <w:snapToGrid w:val="0"/>
        <w:spacing w:line="20" w:lineRule="exact"/>
        <w:jc w:val="both"/>
        <w:rPr>
          <w:rFonts w:eastAsia="仿宋"/>
          <w:sz w:val="32"/>
          <w:szCs w:val="32"/>
          <w:highlight w:val="none"/>
        </w:rPr>
      </w:pPr>
    </w:p>
    <w:p>
      <w:pPr>
        <w:widowControl w:val="0"/>
        <w:snapToGrid w:val="0"/>
        <w:spacing w:line="20" w:lineRule="exact"/>
        <w:jc w:val="both"/>
        <w:rPr>
          <w:rFonts w:eastAsia="仿宋"/>
          <w:sz w:val="32"/>
          <w:szCs w:val="32"/>
          <w:highlight w:val="none"/>
        </w:rPr>
      </w:pPr>
    </w:p>
    <w:p>
      <w:pPr>
        <w:widowControl w:val="0"/>
        <w:snapToGrid w:val="0"/>
        <w:spacing w:line="20" w:lineRule="exact"/>
        <w:jc w:val="both"/>
        <w:rPr>
          <w:rFonts w:eastAsia="仿宋"/>
          <w:sz w:val="32"/>
          <w:szCs w:val="32"/>
          <w:highlight w:val="none"/>
        </w:rPr>
      </w:pPr>
    </w:p>
    <w:p>
      <w:pPr>
        <w:widowControl w:val="0"/>
        <w:snapToGrid w:val="0"/>
        <w:spacing w:line="20" w:lineRule="exact"/>
        <w:jc w:val="both"/>
        <w:rPr>
          <w:rFonts w:eastAsia="仿宋"/>
          <w:sz w:val="32"/>
          <w:szCs w:val="32"/>
          <w:highlight w:val="none"/>
        </w:rPr>
      </w:pPr>
    </w:p>
    <w:p>
      <w:pPr>
        <w:widowControl w:val="0"/>
        <w:snapToGrid w:val="0"/>
        <w:spacing w:line="20" w:lineRule="exact"/>
        <w:jc w:val="both"/>
        <w:rPr>
          <w:rFonts w:eastAsia="仿宋"/>
          <w:sz w:val="32"/>
          <w:szCs w:val="32"/>
          <w:highlight w:val="none"/>
        </w:rPr>
      </w:pPr>
    </w:p>
    <w:tbl>
      <w:tblPr>
        <w:tblStyle w:val="4"/>
        <w:tblW w:w="14325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410"/>
        <w:gridCol w:w="1605"/>
        <w:gridCol w:w="1710"/>
        <w:gridCol w:w="1710"/>
        <w:gridCol w:w="1575"/>
        <w:gridCol w:w="1710"/>
        <w:gridCol w:w="160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</w:trPr>
        <w:tc>
          <w:tcPr>
            <w:tcW w:w="14325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both"/>
              <w:textAlignment w:val="center"/>
              <w:rPr>
                <w:rStyle w:val="18"/>
                <w:rFonts w:hint="default"/>
                <w:highlight w:val="none"/>
                <w:lang w:val="en-US" w:eastAsia="zh-CN"/>
              </w:rPr>
            </w:pPr>
            <w:r>
              <w:rPr>
                <w:rFonts w:hint="eastAsia" w:eastAsia="黑体" w:cs="黑体"/>
                <w:color w:val="000000"/>
                <w:sz w:val="32"/>
                <w:szCs w:val="32"/>
                <w:highlight w:val="none"/>
                <w:lang w:val="en-US" w:eastAsia="zh-CN"/>
              </w:rPr>
              <w:t>附件5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14325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sz w:val="36"/>
                <w:szCs w:val="36"/>
                <w:highlight w:val="none"/>
                <w:u w:val="none"/>
                <w:lang w:val="en-US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b w:val="0"/>
                <w:bCs w:val="0"/>
                <w:color w:val="auto"/>
                <w:sz w:val="44"/>
                <w:szCs w:val="44"/>
                <w:highlight w:val="none"/>
                <w:lang w:val="en-US" w:eastAsia="zh-CN"/>
              </w:rPr>
              <w:t>2025年社会保险基金预算收支调整</w:t>
            </w:r>
            <w:r>
              <w:rPr>
                <w:rFonts w:hint="eastAsia" w:ascii="方正小标宋简体" w:hAnsi="方正小标宋简体" w:eastAsia="方正小标宋简体" w:cs="方正小标宋简体"/>
                <w:b w:val="0"/>
                <w:bCs w:val="0"/>
                <w:color w:val="000000"/>
                <w:sz w:val="44"/>
                <w:szCs w:val="44"/>
                <w:highlight w:val="none"/>
                <w:lang w:val="en-US" w:eastAsia="zh-CN"/>
              </w:rPr>
              <w:t>方案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44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6"/>
                <w:szCs w:val="36"/>
                <w:highlight w:val="none"/>
                <w:u w:val="none"/>
              </w:rPr>
            </w:pPr>
          </w:p>
        </w:tc>
        <w:tc>
          <w:tcPr>
            <w:tcW w:w="160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7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7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57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7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60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spacing w:line="600" w:lineRule="exact"/>
              <w:jc w:val="center"/>
              <w:textAlignment w:val="center"/>
              <w:rPr>
                <w:rFonts w:hint="eastAsia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/>
                <w:color w:val="auto"/>
                <w:sz w:val="20"/>
                <w:szCs w:val="20"/>
                <w:highlight w:val="none"/>
                <w:lang w:val="en-US" w:eastAsia="zh-CN"/>
              </w:rPr>
              <w:t>单位：万元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0" w:hRule="atLeast"/>
        </w:trPr>
        <w:tc>
          <w:tcPr>
            <w:tcW w:w="4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16"/>
                <w:rFonts w:hint="eastAsia" w:eastAsia="黑体" w:cs="黑体"/>
                <w:b w:val="0"/>
                <w:bCs w:val="0"/>
                <w:color w:val="auto"/>
                <w:sz w:val="24"/>
                <w:szCs w:val="24"/>
                <w:highlight w:val="none"/>
                <w:lang w:val="en-US" w:eastAsia="zh-CN"/>
              </w:rPr>
              <w:t>项    目</w:t>
            </w:r>
          </w:p>
        </w:tc>
        <w:tc>
          <w:tcPr>
            <w:tcW w:w="502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16"/>
                <w:rFonts w:hint="eastAsia" w:eastAsia="黑体" w:cs="黑体"/>
                <w:b w:val="0"/>
                <w:bCs w:val="0"/>
                <w:color w:val="auto"/>
                <w:sz w:val="24"/>
                <w:szCs w:val="24"/>
                <w:highlight w:val="none"/>
                <w:lang w:val="en-US" w:eastAsia="zh-CN"/>
              </w:rPr>
              <w:t>收 入</w:t>
            </w:r>
          </w:p>
        </w:tc>
        <w:tc>
          <w:tcPr>
            <w:tcW w:w="489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16"/>
                <w:rFonts w:hint="eastAsia" w:eastAsia="黑体" w:cs="黑体"/>
                <w:b w:val="0"/>
                <w:bCs w:val="0"/>
                <w:color w:val="auto"/>
                <w:sz w:val="24"/>
                <w:szCs w:val="24"/>
                <w:highlight w:val="none"/>
                <w:lang w:val="en-US" w:eastAsia="zh-CN"/>
              </w:rPr>
              <w:t>支 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</w:trPr>
        <w:tc>
          <w:tcPr>
            <w:tcW w:w="4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eastAsia="黑体" w:cs="黑体"/>
                <w:color w:val="auto"/>
                <w:sz w:val="22"/>
                <w:szCs w:val="22"/>
                <w:highlight w:val="none"/>
                <w:lang w:val="en-US" w:eastAsia="zh-CN"/>
              </w:rPr>
              <w:t>年初预算数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eastAsia="黑体" w:cs="黑体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eastAsia="黑体" w:cs="黑体"/>
                <w:color w:val="auto"/>
                <w:sz w:val="22"/>
                <w:szCs w:val="22"/>
                <w:highlight w:val="none"/>
                <w:lang w:val="en-US" w:eastAsia="zh-CN"/>
              </w:rPr>
              <w:t xml:space="preserve">调增（+） </w:t>
            </w:r>
          </w:p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eastAsia="黑体" w:cs="黑体"/>
                <w:color w:val="auto"/>
                <w:sz w:val="22"/>
                <w:szCs w:val="22"/>
                <w:highlight w:val="none"/>
                <w:lang w:val="en-US" w:eastAsia="zh-CN"/>
              </w:rPr>
              <w:t>调减（-）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eastAsia="黑体" w:cs="黑体"/>
                <w:color w:val="auto"/>
                <w:sz w:val="22"/>
                <w:szCs w:val="22"/>
                <w:highlight w:val="none"/>
                <w:lang w:val="en-US" w:eastAsia="zh-CN"/>
              </w:rPr>
              <w:t>调整预算数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eastAsia="黑体" w:cs="黑体"/>
                <w:color w:val="auto"/>
                <w:sz w:val="22"/>
                <w:szCs w:val="22"/>
                <w:highlight w:val="none"/>
                <w:lang w:val="en-US" w:eastAsia="zh-CN"/>
              </w:rPr>
              <w:t>年初预算数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eastAsia="黑体" w:cs="黑体"/>
                <w:color w:val="auto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eastAsia="黑体" w:cs="黑体"/>
                <w:color w:val="auto"/>
                <w:sz w:val="22"/>
                <w:szCs w:val="22"/>
                <w:highlight w:val="none"/>
                <w:lang w:val="en-US" w:eastAsia="zh-CN"/>
              </w:rPr>
              <w:t xml:space="preserve">调增（+） </w:t>
            </w:r>
          </w:p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eastAsia="黑体" w:cs="黑体"/>
                <w:color w:val="auto"/>
                <w:sz w:val="22"/>
                <w:szCs w:val="22"/>
                <w:highlight w:val="none"/>
                <w:lang w:val="en-US" w:eastAsia="zh-CN"/>
              </w:rPr>
              <w:t>调减（-）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eastAsia="黑体" w:cs="黑体"/>
                <w:color w:val="auto"/>
                <w:sz w:val="22"/>
                <w:szCs w:val="22"/>
                <w:highlight w:val="none"/>
                <w:lang w:val="en-US" w:eastAsia="zh-CN"/>
              </w:rPr>
              <w:t>调整预算数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5" w:hRule="atLeast"/>
        </w:trPr>
        <w:tc>
          <w:tcPr>
            <w:tcW w:w="4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/>
              </w:rPr>
              <w:t>合    计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highlight w:val="none"/>
                <w:u w:val="none"/>
                <w:lang w:val="en-US"/>
              </w:rPr>
            </w:pPr>
            <w:r>
              <w:rPr>
                <w:rFonts w:hint="eastAsia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/>
              </w:rPr>
              <w:t>94215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highlight w:val="none"/>
                <w:u w:val="none"/>
                <w:lang w:val="en-US" w:eastAsia="zh-CN"/>
              </w:rPr>
            </w:pPr>
            <w:r>
              <w:rPr>
                <w:rFonts w:hint="eastAsia" w:cs="宋体"/>
                <w:b/>
                <w:bCs/>
                <w:i w:val="0"/>
                <w:iCs w:val="0"/>
                <w:color w:val="000000"/>
                <w:sz w:val="21"/>
                <w:szCs w:val="21"/>
                <w:highlight w:val="none"/>
                <w:u w:val="none"/>
                <w:lang w:val="en-US" w:eastAsia="zh-CN"/>
              </w:rPr>
              <w:t>2095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highlight w:val="none"/>
                <w:u w:val="none"/>
                <w:lang w:val="en-US" w:eastAsia="zh-CN"/>
              </w:rPr>
            </w:pPr>
            <w:r>
              <w:rPr>
                <w:rFonts w:hint="eastAsia" w:cs="宋体"/>
                <w:b/>
                <w:bCs/>
                <w:i w:val="0"/>
                <w:iCs w:val="0"/>
                <w:color w:val="000000"/>
                <w:sz w:val="21"/>
                <w:szCs w:val="21"/>
                <w:highlight w:val="none"/>
                <w:u w:val="none"/>
                <w:lang w:val="en-US" w:eastAsia="zh-CN"/>
              </w:rPr>
              <w:t>96310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highlight w:val="none"/>
                <w:u w:val="none"/>
                <w:lang w:val="en-US"/>
              </w:rPr>
            </w:pPr>
            <w:r>
              <w:rPr>
                <w:rFonts w:hint="eastAsia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/>
              </w:rPr>
              <w:t>94215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highlight w:val="none"/>
                <w:u w:val="none"/>
                <w:lang w:val="en-US" w:eastAsia="zh-CN"/>
              </w:rPr>
            </w:pPr>
            <w:r>
              <w:rPr>
                <w:rFonts w:hint="eastAsia" w:cs="宋体"/>
                <w:b/>
                <w:bCs/>
                <w:i w:val="0"/>
                <w:iCs w:val="0"/>
                <w:color w:val="000000"/>
                <w:sz w:val="21"/>
                <w:szCs w:val="21"/>
                <w:highlight w:val="none"/>
                <w:u w:val="none"/>
                <w:lang w:val="en-US" w:eastAsia="zh-CN"/>
              </w:rPr>
              <w:t>2095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highlight w:val="none"/>
                <w:u w:val="none"/>
                <w:lang w:val="en-US" w:eastAsia="zh-CN"/>
              </w:rPr>
            </w:pPr>
            <w:r>
              <w:rPr>
                <w:rFonts w:hint="eastAsia" w:cs="宋体"/>
                <w:b/>
                <w:bCs/>
                <w:i w:val="0"/>
                <w:iCs w:val="0"/>
                <w:color w:val="000000"/>
                <w:sz w:val="21"/>
                <w:szCs w:val="21"/>
                <w:highlight w:val="none"/>
                <w:u w:val="none"/>
                <w:lang w:val="en-US" w:eastAsia="zh-CN"/>
              </w:rPr>
              <w:t>96310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4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  <w:t>一、企业养老保险基金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highlight w:val="none"/>
                <w:u w:val="none"/>
              </w:rPr>
            </w:pP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highlight w:val="none"/>
                <w:u w:val="none"/>
              </w:rPr>
            </w:pP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highlight w:val="none"/>
                <w:u w:val="none"/>
              </w:rPr>
            </w:pP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highlight w:val="none"/>
                <w:u w:val="none"/>
              </w:rPr>
            </w:pP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highlight w:val="none"/>
                <w:u w:val="none"/>
              </w:rPr>
            </w:pP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highlight w:val="none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5" w:hRule="atLeast"/>
        </w:trPr>
        <w:tc>
          <w:tcPr>
            <w:tcW w:w="4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  <w:t>二、职工基本医疗保险基金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highlight w:val="none"/>
                <w:u w:val="none"/>
              </w:rPr>
            </w:pP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highlight w:val="none"/>
                <w:u w:val="none"/>
              </w:rPr>
            </w:pP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highlight w:val="none"/>
                <w:u w:val="none"/>
              </w:rPr>
            </w:pP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highlight w:val="none"/>
                <w:u w:val="none"/>
              </w:rPr>
            </w:pP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highlight w:val="none"/>
                <w:u w:val="none"/>
              </w:rPr>
            </w:pP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highlight w:val="none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4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/>
              </w:rPr>
              <w:t>三、城乡居民养老保险基金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cs="宋体"/>
                <w:i w:val="0"/>
                <w:iCs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/>
              </w:rPr>
              <w:t>69422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cs="宋体"/>
                <w:i w:val="0"/>
                <w:iCs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/>
              </w:rPr>
              <w:t>522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cs="宋体"/>
                <w:i w:val="0"/>
                <w:iCs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/>
              </w:rPr>
              <w:t>69944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cs="宋体"/>
                <w:i w:val="0"/>
                <w:iCs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/>
              </w:rPr>
              <w:t>69422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cs="宋体"/>
                <w:i w:val="0"/>
                <w:iCs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/>
              </w:rPr>
              <w:t>522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cs="宋体"/>
                <w:i w:val="0"/>
                <w:iCs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/>
              </w:rPr>
              <w:t>69944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4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/>
              </w:rPr>
              <w:t>其中：本年收入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cs="宋体"/>
                <w:i w:val="0"/>
                <w:iCs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/>
              </w:rPr>
              <w:t>25025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cs="宋体"/>
                <w:i w:val="0"/>
                <w:iCs w:val="0"/>
                <w:color w:val="000000"/>
                <w:sz w:val="21"/>
                <w:szCs w:val="21"/>
                <w:highlight w:val="none"/>
                <w:u w:val="none"/>
                <w:lang w:val="en-US" w:eastAsia="zh-CN"/>
              </w:rPr>
              <w:t>354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cs="宋体"/>
                <w:i w:val="0"/>
                <w:iCs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/>
              </w:rPr>
              <w:t>25379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cs="宋体"/>
                <w:i w:val="0"/>
                <w:iCs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/>
              </w:rPr>
              <w:t>20826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cs="宋体"/>
                <w:i w:val="0"/>
                <w:iCs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/>
              </w:rPr>
              <w:t>1272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cs="宋体"/>
                <w:i w:val="0"/>
                <w:iCs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/>
              </w:rPr>
              <w:t>22098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4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/>
              </w:rPr>
              <w:t xml:space="preserve">      上年结余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cs="宋体"/>
                <w:i w:val="0"/>
                <w:iCs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/>
              </w:rPr>
              <w:t>44397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cs="宋体"/>
                <w:i w:val="0"/>
                <w:iCs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/>
              </w:rPr>
              <w:t>168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cs="宋体"/>
                <w:i w:val="0"/>
                <w:iCs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/>
              </w:rPr>
              <w:t>44565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cs="宋体"/>
                <w:i w:val="0"/>
                <w:iCs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/>
              </w:rPr>
              <w:t>48596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cs="宋体"/>
                <w:i w:val="0"/>
                <w:iCs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/>
              </w:rPr>
              <w:t>-750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cs="宋体"/>
                <w:i w:val="0"/>
                <w:iCs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/>
              </w:rPr>
              <w:t>47846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4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/>
              </w:rPr>
              <w:t>四、机关事业单位养老保险基金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cs="宋体"/>
                <w:i w:val="0"/>
                <w:iCs w:val="0"/>
                <w:color w:val="000000"/>
                <w:sz w:val="21"/>
                <w:szCs w:val="21"/>
                <w:highlight w:val="none"/>
                <w:u w:val="none"/>
                <w:lang w:val="en-US" w:eastAsia="zh-CN"/>
              </w:rPr>
              <w:t>24793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cs="宋体"/>
                <w:i w:val="0"/>
                <w:iCs w:val="0"/>
                <w:color w:val="000000"/>
                <w:sz w:val="21"/>
                <w:szCs w:val="21"/>
                <w:highlight w:val="none"/>
                <w:u w:val="none"/>
                <w:lang w:val="en-US" w:eastAsia="zh-CN"/>
              </w:rPr>
              <w:t>1573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cs="宋体"/>
                <w:i w:val="0"/>
                <w:iCs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/>
              </w:rPr>
              <w:t>26366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cs="宋体"/>
                <w:i w:val="0"/>
                <w:iCs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/>
              </w:rPr>
              <w:t>24793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cs="宋体"/>
                <w:i w:val="0"/>
                <w:iCs w:val="0"/>
                <w:color w:val="000000"/>
                <w:sz w:val="21"/>
                <w:szCs w:val="21"/>
                <w:highlight w:val="none"/>
                <w:u w:val="none"/>
                <w:lang w:val="en-US" w:eastAsia="zh-CN"/>
              </w:rPr>
              <w:t>1573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cs="宋体"/>
                <w:i w:val="0"/>
                <w:iCs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/>
              </w:rPr>
              <w:t>26366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4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/>
              </w:rPr>
              <w:t>五、城乡居民基本医疗保险基金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highlight w:val="none"/>
                <w:u w:val="none"/>
              </w:rPr>
            </w:pP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highlight w:val="none"/>
                <w:u w:val="none"/>
              </w:rPr>
            </w:pP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highlight w:val="none"/>
                <w:u w:val="none"/>
              </w:rPr>
            </w:pP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highlight w:val="none"/>
                <w:u w:val="none"/>
              </w:rPr>
            </w:pP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highlight w:val="none"/>
                <w:u w:val="none"/>
              </w:rPr>
            </w:pP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highlight w:val="none"/>
                <w:u w:val="none"/>
              </w:rPr>
            </w:pPr>
          </w:p>
        </w:tc>
      </w:tr>
    </w:tbl>
    <w:p>
      <w:pPr>
        <w:widowControl w:val="0"/>
        <w:snapToGrid w:val="0"/>
        <w:spacing w:line="20" w:lineRule="exact"/>
        <w:jc w:val="both"/>
        <w:rPr>
          <w:rFonts w:eastAsia="仿宋"/>
          <w:sz w:val="32"/>
          <w:szCs w:val="32"/>
          <w:highlight w:val="none"/>
        </w:rPr>
      </w:pPr>
    </w:p>
    <w:sectPr>
      <w:headerReference r:id="rId6" w:type="default"/>
      <w:footerReference r:id="rId7" w:type="default"/>
      <w:pgSz w:w="16838" w:h="11906" w:orient="landscape"/>
      <w:pgMar w:top="1531" w:right="2098" w:bottom="1531" w:left="1531" w:header="851" w:footer="992" w:gutter="0"/>
      <w:pgNumType w:fmt="numberInDash" w:start="11"/>
      <w:cols w:space="720" w:num="1"/>
      <w:docGrid w:type="lines" w:linePitch="34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altName w:val="Arial Unicode MS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rFonts w:ascii="宋体" w:hAnsi="宋体" w:eastAsia="宋体" w:cs="宋体"/>
        <w:sz w:val="18"/>
        <w:szCs w:val="18"/>
        <w:lang w:val="en-US" w:eastAsia="zh-CN" w:bidi="ar-SA"/>
      </w:rPr>
      <w:pict>
        <v:shape id="_x0000_s4097" o:spid="_x0000_s4097" o:spt="202" type="#_x0000_t202" style="position:absolute;left:0pt;margin-top:0pt;height:144pt;width:144pt;mso-position-horizontal:outside;mso-position-horizontal-relative:margin;mso-wrap-style:none;z-index:251659264;mso-width-relative:page;mso-height-relative:page;" fillcolor="#FFFFFF" filled="f" o:preferrelative="t" stroked="f" coordsize="21600,21600">
          <v:path/>
          <v:fill on="f" color2="#FFFFFF" focussize="0,0"/>
          <v:stroke on="f"/>
          <v:imagedata gain="65536f" blacklevel="0f" gamma="0" o:title=""/>
          <o:lock v:ext="edit" position="f" selection="f" grouping="f" rotation="f" cropping="f" text="f" aspectratio="f"/>
          <v:textbox inset="0mm,0mm,0mm,0mm" style="mso-fit-shape-to-text:t;">
            <w:txbxContent>
              <w:p>
                <w:pPr>
                  <w:pStyle w:val="2"/>
                </w:pPr>
                <w:r>
                  <w:rPr>
                    <w:rFonts w:hint="eastAsia" w:ascii="宋体" w:hAnsi="宋体" w:eastAsia="宋体" w:cs="宋体"/>
                    <w:sz w:val="24"/>
                    <w:szCs w:val="24"/>
                  </w:rPr>
                  <w:fldChar w:fldCharType="begin"/>
                </w:r>
                <w:r>
                  <w:rPr>
                    <w:rFonts w:hint="eastAsia" w:ascii="宋体" w:hAnsi="宋体" w:eastAsia="宋体" w:cs="宋体"/>
                    <w:sz w:val="24"/>
                    <w:szCs w:val="24"/>
                  </w:rPr>
                  <w:instrText xml:space="preserve"> PAGE  \* MERGEFORMAT </w:instrText>
                </w:r>
                <w:r>
                  <w:rPr>
                    <w:rFonts w:hint="eastAsia" w:ascii="宋体" w:hAnsi="宋体" w:eastAsia="宋体" w:cs="宋体"/>
                    <w:sz w:val="24"/>
                    <w:szCs w:val="24"/>
                  </w:rPr>
                  <w:fldChar w:fldCharType="separate"/>
                </w:r>
                <w:r>
                  <w:rPr>
                    <w:rFonts w:hint="eastAsia" w:ascii="宋体" w:hAnsi="宋体" w:eastAsia="宋体" w:cs="宋体"/>
                    <w:sz w:val="24"/>
                    <w:szCs w:val="24"/>
                  </w:rPr>
                  <w:t>- 4 -</w:t>
                </w:r>
                <w:r>
                  <w:rPr>
                    <w:rFonts w:hint="eastAsia" w:ascii="宋体" w:hAnsi="宋体" w:eastAsia="宋体" w:cs="宋体"/>
                    <w:sz w:val="24"/>
                    <w:szCs w:val="24"/>
                  </w:rPr>
                  <w:fldChar w:fldCharType="end"/>
                </w:r>
              </w:p>
            </w:txbxContent>
          </v:textbox>
        </v:shape>
      </w:pic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  <w:jc w:val="left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  <w:jc w:val="lef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HorizontalSpacing w:val="158"/>
  <w:drawingGridVerticalSpacing w:val="292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000000"/>
    <w:rsid w:val="001C2F13"/>
    <w:rsid w:val="00466D85"/>
    <w:rsid w:val="005501A9"/>
    <w:rsid w:val="008631B5"/>
    <w:rsid w:val="008F564C"/>
    <w:rsid w:val="009805D2"/>
    <w:rsid w:val="009C725D"/>
    <w:rsid w:val="00A96142"/>
    <w:rsid w:val="00B01253"/>
    <w:rsid w:val="00B203D6"/>
    <w:rsid w:val="00B65AF0"/>
    <w:rsid w:val="00C367E4"/>
    <w:rsid w:val="00CC3BDB"/>
    <w:rsid w:val="00D76DD2"/>
    <w:rsid w:val="00DC4487"/>
    <w:rsid w:val="00DC6180"/>
    <w:rsid w:val="00E87273"/>
    <w:rsid w:val="00F151C7"/>
    <w:rsid w:val="010D2BFA"/>
    <w:rsid w:val="01141C05"/>
    <w:rsid w:val="0115423D"/>
    <w:rsid w:val="011B2F45"/>
    <w:rsid w:val="01270633"/>
    <w:rsid w:val="012E594C"/>
    <w:rsid w:val="01322531"/>
    <w:rsid w:val="01360185"/>
    <w:rsid w:val="013A52A9"/>
    <w:rsid w:val="014F305F"/>
    <w:rsid w:val="01534A52"/>
    <w:rsid w:val="01592556"/>
    <w:rsid w:val="016825A8"/>
    <w:rsid w:val="018238F2"/>
    <w:rsid w:val="018366FB"/>
    <w:rsid w:val="01D74F16"/>
    <w:rsid w:val="01E55628"/>
    <w:rsid w:val="01F35655"/>
    <w:rsid w:val="02065B76"/>
    <w:rsid w:val="020F1485"/>
    <w:rsid w:val="0221435D"/>
    <w:rsid w:val="02456C1F"/>
    <w:rsid w:val="026E373F"/>
    <w:rsid w:val="026F08E3"/>
    <w:rsid w:val="0275410A"/>
    <w:rsid w:val="0288175F"/>
    <w:rsid w:val="02A91942"/>
    <w:rsid w:val="02BD03C9"/>
    <w:rsid w:val="02D3582C"/>
    <w:rsid w:val="02EB1AC3"/>
    <w:rsid w:val="02ED2DD4"/>
    <w:rsid w:val="0314326D"/>
    <w:rsid w:val="03175D18"/>
    <w:rsid w:val="031F7516"/>
    <w:rsid w:val="03292085"/>
    <w:rsid w:val="033605D4"/>
    <w:rsid w:val="033B6A91"/>
    <w:rsid w:val="034E1A4E"/>
    <w:rsid w:val="03607AFE"/>
    <w:rsid w:val="03645AF6"/>
    <w:rsid w:val="037D4000"/>
    <w:rsid w:val="03A4351E"/>
    <w:rsid w:val="03BA1AB1"/>
    <w:rsid w:val="03C0127A"/>
    <w:rsid w:val="03C06106"/>
    <w:rsid w:val="03D30645"/>
    <w:rsid w:val="03E77402"/>
    <w:rsid w:val="03F22B7A"/>
    <w:rsid w:val="03F55527"/>
    <w:rsid w:val="03FA56ED"/>
    <w:rsid w:val="04117CCA"/>
    <w:rsid w:val="041D1579"/>
    <w:rsid w:val="0429193E"/>
    <w:rsid w:val="04311EDC"/>
    <w:rsid w:val="0432452A"/>
    <w:rsid w:val="043400F7"/>
    <w:rsid w:val="04406A5B"/>
    <w:rsid w:val="04536F54"/>
    <w:rsid w:val="04694E23"/>
    <w:rsid w:val="04A21B88"/>
    <w:rsid w:val="04A901FC"/>
    <w:rsid w:val="04C802C6"/>
    <w:rsid w:val="04DE6446"/>
    <w:rsid w:val="04E708CE"/>
    <w:rsid w:val="04E81E40"/>
    <w:rsid w:val="04FA3BFE"/>
    <w:rsid w:val="0507054E"/>
    <w:rsid w:val="050C4D3E"/>
    <w:rsid w:val="05132F27"/>
    <w:rsid w:val="05252752"/>
    <w:rsid w:val="052B0C90"/>
    <w:rsid w:val="053364D9"/>
    <w:rsid w:val="05382C65"/>
    <w:rsid w:val="0554559D"/>
    <w:rsid w:val="055A7DC2"/>
    <w:rsid w:val="056069C4"/>
    <w:rsid w:val="056D25B3"/>
    <w:rsid w:val="056F2E0E"/>
    <w:rsid w:val="05767FF6"/>
    <w:rsid w:val="059007A3"/>
    <w:rsid w:val="05977E9D"/>
    <w:rsid w:val="05AA3F04"/>
    <w:rsid w:val="05B84D1F"/>
    <w:rsid w:val="05DC1EF0"/>
    <w:rsid w:val="0602590F"/>
    <w:rsid w:val="060B3BEB"/>
    <w:rsid w:val="064F399F"/>
    <w:rsid w:val="06525663"/>
    <w:rsid w:val="06552D99"/>
    <w:rsid w:val="0660467C"/>
    <w:rsid w:val="066212EB"/>
    <w:rsid w:val="06725508"/>
    <w:rsid w:val="067571C0"/>
    <w:rsid w:val="067E4C6F"/>
    <w:rsid w:val="06AA71A5"/>
    <w:rsid w:val="06C64E0E"/>
    <w:rsid w:val="06CA135F"/>
    <w:rsid w:val="06FB2FBC"/>
    <w:rsid w:val="07222773"/>
    <w:rsid w:val="07364921"/>
    <w:rsid w:val="073F0C56"/>
    <w:rsid w:val="07410AE0"/>
    <w:rsid w:val="074714F7"/>
    <w:rsid w:val="074A7874"/>
    <w:rsid w:val="077179BD"/>
    <w:rsid w:val="077868AC"/>
    <w:rsid w:val="07830D5A"/>
    <w:rsid w:val="07834ED3"/>
    <w:rsid w:val="078F6A49"/>
    <w:rsid w:val="07914A12"/>
    <w:rsid w:val="0792113B"/>
    <w:rsid w:val="07996F94"/>
    <w:rsid w:val="07BD7F95"/>
    <w:rsid w:val="07BE36D7"/>
    <w:rsid w:val="07CC767F"/>
    <w:rsid w:val="07D36759"/>
    <w:rsid w:val="080D69E9"/>
    <w:rsid w:val="081F1B27"/>
    <w:rsid w:val="085631AA"/>
    <w:rsid w:val="08580CD1"/>
    <w:rsid w:val="08611A13"/>
    <w:rsid w:val="08704EC9"/>
    <w:rsid w:val="08746E29"/>
    <w:rsid w:val="088A0067"/>
    <w:rsid w:val="089B7F8F"/>
    <w:rsid w:val="08A342A6"/>
    <w:rsid w:val="08B45652"/>
    <w:rsid w:val="08EE5804"/>
    <w:rsid w:val="08F25800"/>
    <w:rsid w:val="08FA344E"/>
    <w:rsid w:val="090E23C3"/>
    <w:rsid w:val="091F6714"/>
    <w:rsid w:val="093E0782"/>
    <w:rsid w:val="0946496B"/>
    <w:rsid w:val="095C69BC"/>
    <w:rsid w:val="097475F7"/>
    <w:rsid w:val="09764D55"/>
    <w:rsid w:val="09A80B88"/>
    <w:rsid w:val="09A826F0"/>
    <w:rsid w:val="09B43BA2"/>
    <w:rsid w:val="09BF087B"/>
    <w:rsid w:val="09C23043"/>
    <w:rsid w:val="09D0161B"/>
    <w:rsid w:val="09DC78FE"/>
    <w:rsid w:val="09E600CB"/>
    <w:rsid w:val="0A417D52"/>
    <w:rsid w:val="0A433643"/>
    <w:rsid w:val="0A532D3B"/>
    <w:rsid w:val="0A665A67"/>
    <w:rsid w:val="0A6841AA"/>
    <w:rsid w:val="0A786BF9"/>
    <w:rsid w:val="0A817E6A"/>
    <w:rsid w:val="0ACF69FE"/>
    <w:rsid w:val="0AD37B9C"/>
    <w:rsid w:val="0ADD0D6E"/>
    <w:rsid w:val="0AE45C24"/>
    <w:rsid w:val="0AEB0C18"/>
    <w:rsid w:val="0AFA65CA"/>
    <w:rsid w:val="0B173B8C"/>
    <w:rsid w:val="0B197D7E"/>
    <w:rsid w:val="0B1A1518"/>
    <w:rsid w:val="0B3E0167"/>
    <w:rsid w:val="0B5230A8"/>
    <w:rsid w:val="0B534BE9"/>
    <w:rsid w:val="0B5F3376"/>
    <w:rsid w:val="0B9342A9"/>
    <w:rsid w:val="0BAE12C4"/>
    <w:rsid w:val="0BC63B79"/>
    <w:rsid w:val="0BC85AC8"/>
    <w:rsid w:val="0BCC5DAC"/>
    <w:rsid w:val="0BED6A6C"/>
    <w:rsid w:val="0C002F2F"/>
    <w:rsid w:val="0C1B4DC1"/>
    <w:rsid w:val="0C20084D"/>
    <w:rsid w:val="0C365385"/>
    <w:rsid w:val="0C562EC1"/>
    <w:rsid w:val="0C596F0C"/>
    <w:rsid w:val="0C895E3D"/>
    <w:rsid w:val="0C9B743D"/>
    <w:rsid w:val="0CB238AC"/>
    <w:rsid w:val="0CD00AEA"/>
    <w:rsid w:val="0CD57BF8"/>
    <w:rsid w:val="0CDB41DD"/>
    <w:rsid w:val="0CDB70BE"/>
    <w:rsid w:val="0D0436F7"/>
    <w:rsid w:val="0D0C53E6"/>
    <w:rsid w:val="0D0C54C8"/>
    <w:rsid w:val="0D35515E"/>
    <w:rsid w:val="0D3971FD"/>
    <w:rsid w:val="0D486492"/>
    <w:rsid w:val="0D4E4D70"/>
    <w:rsid w:val="0D5321C6"/>
    <w:rsid w:val="0D6C57C0"/>
    <w:rsid w:val="0D7110B6"/>
    <w:rsid w:val="0D787FC8"/>
    <w:rsid w:val="0D7E0A1F"/>
    <w:rsid w:val="0DAA4455"/>
    <w:rsid w:val="0DB72A7F"/>
    <w:rsid w:val="0DBE001F"/>
    <w:rsid w:val="0DD3303E"/>
    <w:rsid w:val="0DD40EBD"/>
    <w:rsid w:val="0DD60389"/>
    <w:rsid w:val="0DE34571"/>
    <w:rsid w:val="0DF269A4"/>
    <w:rsid w:val="0DF9658B"/>
    <w:rsid w:val="0E2655B2"/>
    <w:rsid w:val="0E4B277F"/>
    <w:rsid w:val="0E4F1F03"/>
    <w:rsid w:val="0E556020"/>
    <w:rsid w:val="0E5D2DDA"/>
    <w:rsid w:val="0E5E4858"/>
    <w:rsid w:val="0E6F12FD"/>
    <w:rsid w:val="0E8719D6"/>
    <w:rsid w:val="0E9F6FCC"/>
    <w:rsid w:val="0EC570AF"/>
    <w:rsid w:val="0EE22BC5"/>
    <w:rsid w:val="0EE35117"/>
    <w:rsid w:val="0EE473EE"/>
    <w:rsid w:val="0EE525A0"/>
    <w:rsid w:val="0EE722DF"/>
    <w:rsid w:val="0EE96CF5"/>
    <w:rsid w:val="0F064214"/>
    <w:rsid w:val="0F0A6544"/>
    <w:rsid w:val="0F0E5F22"/>
    <w:rsid w:val="0F354497"/>
    <w:rsid w:val="0F457867"/>
    <w:rsid w:val="0F59135F"/>
    <w:rsid w:val="0F5A7587"/>
    <w:rsid w:val="0F6813B7"/>
    <w:rsid w:val="0F76766B"/>
    <w:rsid w:val="0FC354EC"/>
    <w:rsid w:val="0FC80B5B"/>
    <w:rsid w:val="0FCB2AA6"/>
    <w:rsid w:val="0FEA0688"/>
    <w:rsid w:val="1051176E"/>
    <w:rsid w:val="107F11FE"/>
    <w:rsid w:val="10830D4E"/>
    <w:rsid w:val="108B46E9"/>
    <w:rsid w:val="108B4E65"/>
    <w:rsid w:val="108E3731"/>
    <w:rsid w:val="109878DC"/>
    <w:rsid w:val="10AE6861"/>
    <w:rsid w:val="10B15990"/>
    <w:rsid w:val="10BD344F"/>
    <w:rsid w:val="10C7200B"/>
    <w:rsid w:val="10E04847"/>
    <w:rsid w:val="10F041A7"/>
    <w:rsid w:val="10FB7972"/>
    <w:rsid w:val="111A10E0"/>
    <w:rsid w:val="111B1BB2"/>
    <w:rsid w:val="112A6E39"/>
    <w:rsid w:val="114C0249"/>
    <w:rsid w:val="114E4C0F"/>
    <w:rsid w:val="114F78C4"/>
    <w:rsid w:val="11704A21"/>
    <w:rsid w:val="117450AC"/>
    <w:rsid w:val="11851916"/>
    <w:rsid w:val="118F6664"/>
    <w:rsid w:val="119926C1"/>
    <w:rsid w:val="11A52A2F"/>
    <w:rsid w:val="11A8604F"/>
    <w:rsid w:val="11B9183C"/>
    <w:rsid w:val="11C934C8"/>
    <w:rsid w:val="11CC0B28"/>
    <w:rsid w:val="11D04857"/>
    <w:rsid w:val="11D93DA2"/>
    <w:rsid w:val="11DC710E"/>
    <w:rsid w:val="11DD170E"/>
    <w:rsid w:val="11ED508A"/>
    <w:rsid w:val="11F2186E"/>
    <w:rsid w:val="11FC0750"/>
    <w:rsid w:val="12000275"/>
    <w:rsid w:val="121D2600"/>
    <w:rsid w:val="122540B9"/>
    <w:rsid w:val="12343B6F"/>
    <w:rsid w:val="124608CD"/>
    <w:rsid w:val="124A6A06"/>
    <w:rsid w:val="1259418A"/>
    <w:rsid w:val="125A30F5"/>
    <w:rsid w:val="125A639E"/>
    <w:rsid w:val="12992994"/>
    <w:rsid w:val="12B717D6"/>
    <w:rsid w:val="12C02D76"/>
    <w:rsid w:val="12C060EB"/>
    <w:rsid w:val="12C26A51"/>
    <w:rsid w:val="12C60DF3"/>
    <w:rsid w:val="12C9367D"/>
    <w:rsid w:val="12E53076"/>
    <w:rsid w:val="12E862A8"/>
    <w:rsid w:val="12EC3A8D"/>
    <w:rsid w:val="130A6249"/>
    <w:rsid w:val="13324490"/>
    <w:rsid w:val="134134B2"/>
    <w:rsid w:val="13415D86"/>
    <w:rsid w:val="135E2E0B"/>
    <w:rsid w:val="136B1D95"/>
    <w:rsid w:val="13726A72"/>
    <w:rsid w:val="13814661"/>
    <w:rsid w:val="138F6E62"/>
    <w:rsid w:val="13931700"/>
    <w:rsid w:val="13D847B5"/>
    <w:rsid w:val="13DA7121"/>
    <w:rsid w:val="13E02B15"/>
    <w:rsid w:val="13EE6CA3"/>
    <w:rsid w:val="14131BE4"/>
    <w:rsid w:val="141451F8"/>
    <w:rsid w:val="14182A1B"/>
    <w:rsid w:val="141E4B0D"/>
    <w:rsid w:val="142528A5"/>
    <w:rsid w:val="14472568"/>
    <w:rsid w:val="146721B4"/>
    <w:rsid w:val="146934E0"/>
    <w:rsid w:val="146A0536"/>
    <w:rsid w:val="147320B7"/>
    <w:rsid w:val="148321F1"/>
    <w:rsid w:val="14AE04AA"/>
    <w:rsid w:val="14C35C76"/>
    <w:rsid w:val="14CD49BC"/>
    <w:rsid w:val="14D41B45"/>
    <w:rsid w:val="14D73AB3"/>
    <w:rsid w:val="14E7748F"/>
    <w:rsid w:val="14EF3F6B"/>
    <w:rsid w:val="14EF68CA"/>
    <w:rsid w:val="150D6A4F"/>
    <w:rsid w:val="151A266A"/>
    <w:rsid w:val="151B2841"/>
    <w:rsid w:val="152F2186"/>
    <w:rsid w:val="15324B4C"/>
    <w:rsid w:val="153462D4"/>
    <w:rsid w:val="153C4460"/>
    <w:rsid w:val="15451A72"/>
    <w:rsid w:val="15480767"/>
    <w:rsid w:val="156F29B6"/>
    <w:rsid w:val="15722117"/>
    <w:rsid w:val="15A125AD"/>
    <w:rsid w:val="15CC23E4"/>
    <w:rsid w:val="15CD53DF"/>
    <w:rsid w:val="15E73D85"/>
    <w:rsid w:val="15F41E89"/>
    <w:rsid w:val="163A4EED"/>
    <w:rsid w:val="16585125"/>
    <w:rsid w:val="16593D48"/>
    <w:rsid w:val="16596575"/>
    <w:rsid w:val="167C6BAF"/>
    <w:rsid w:val="1688597D"/>
    <w:rsid w:val="16C1666C"/>
    <w:rsid w:val="16CF6505"/>
    <w:rsid w:val="16F3523B"/>
    <w:rsid w:val="17020D51"/>
    <w:rsid w:val="17046341"/>
    <w:rsid w:val="17250DFD"/>
    <w:rsid w:val="17292CB6"/>
    <w:rsid w:val="1736075C"/>
    <w:rsid w:val="174775AC"/>
    <w:rsid w:val="178D62CB"/>
    <w:rsid w:val="179B0345"/>
    <w:rsid w:val="17A14DEF"/>
    <w:rsid w:val="17BA6EF5"/>
    <w:rsid w:val="17D4750B"/>
    <w:rsid w:val="17F93FBD"/>
    <w:rsid w:val="18212D3A"/>
    <w:rsid w:val="182F5459"/>
    <w:rsid w:val="18434A2C"/>
    <w:rsid w:val="18465CEA"/>
    <w:rsid w:val="185575D0"/>
    <w:rsid w:val="18645C5A"/>
    <w:rsid w:val="188E32B4"/>
    <w:rsid w:val="1890160C"/>
    <w:rsid w:val="189E0973"/>
    <w:rsid w:val="18D84A23"/>
    <w:rsid w:val="18D90AE0"/>
    <w:rsid w:val="18DA0424"/>
    <w:rsid w:val="18EA5C15"/>
    <w:rsid w:val="18F57B57"/>
    <w:rsid w:val="19047DF5"/>
    <w:rsid w:val="190E1C64"/>
    <w:rsid w:val="19465647"/>
    <w:rsid w:val="194A06D5"/>
    <w:rsid w:val="19567442"/>
    <w:rsid w:val="195B4399"/>
    <w:rsid w:val="195D73DC"/>
    <w:rsid w:val="197473DB"/>
    <w:rsid w:val="19A112DF"/>
    <w:rsid w:val="19B1310A"/>
    <w:rsid w:val="19F5013D"/>
    <w:rsid w:val="19F961BB"/>
    <w:rsid w:val="1A7B6087"/>
    <w:rsid w:val="1A820BAD"/>
    <w:rsid w:val="1AF22C48"/>
    <w:rsid w:val="1B015820"/>
    <w:rsid w:val="1B0F3F3B"/>
    <w:rsid w:val="1B314B6E"/>
    <w:rsid w:val="1B340839"/>
    <w:rsid w:val="1B76514A"/>
    <w:rsid w:val="1B7F41C4"/>
    <w:rsid w:val="1B7F726F"/>
    <w:rsid w:val="1B9D1068"/>
    <w:rsid w:val="1B9E0F6F"/>
    <w:rsid w:val="1BA07420"/>
    <w:rsid w:val="1BE13764"/>
    <w:rsid w:val="1C0E51C2"/>
    <w:rsid w:val="1C176686"/>
    <w:rsid w:val="1C1977F1"/>
    <w:rsid w:val="1C2436C5"/>
    <w:rsid w:val="1C305F45"/>
    <w:rsid w:val="1C555F2B"/>
    <w:rsid w:val="1C5B4E7E"/>
    <w:rsid w:val="1C634408"/>
    <w:rsid w:val="1C757770"/>
    <w:rsid w:val="1C784CA0"/>
    <w:rsid w:val="1C902A1C"/>
    <w:rsid w:val="1C94525B"/>
    <w:rsid w:val="1C995353"/>
    <w:rsid w:val="1CCA34DD"/>
    <w:rsid w:val="1CEA012B"/>
    <w:rsid w:val="1CF67055"/>
    <w:rsid w:val="1D1E1C08"/>
    <w:rsid w:val="1D3C5268"/>
    <w:rsid w:val="1D3F61A6"/>
    <w:rsid w:val="1D400D52"/>
    <w:rsid w:val="1D5E432D"/>
    <w:rsid w:val="1D6165D8"/>
    <w:rsid w:val="1D7B16A7"/>
    <w:rsid w:val="1D977550"/>
    <w:rsid w:val="1DCF6D4C"/>
    <w:rsid w:val="1DF54A72"/>
    <w:rsid w:val="1E10735A"/>
    <w:rsid w:val="1E250C10"/>
    <w:rsid w:val="1E4B0844"/>
    <w:rsid w:val="1E6C1B45"/>
    <w:rsid w:val="1E7032E5"/>
    <w:rsid w:val="1E720CEE"/>
    <w:rsid w:val="1E7B1A78"/>
    <w:rsid w:val="1E8F2091"/>
    <w:rsid w:val="1EA26BAE"/>
    <w:rsid w:val="1EAC23A4"/>
    <w:rsid w:val="1EBC0C33"/>
    <w:rsid w:val="1EE76801"/>
    <w:rsid w:val="1F0A66ED"/>
    <w:rsid w:val="1F4D3B82"/>
    <w:rsid w:val="1F891660"/>
    <w:rsid w:val="1F9319DC"/>
    <w:rsid w:val="1FA6116A"/>
    <w:rsid w:val="1FAE2E99"/>
    <w:rsid w:val="1FC149C8"/>
    <w:rsid w:val="1FC40FE9"/>
    <w:rsid w:val="1FC557B2"/>
    <w:rsid w:val="1FDA0806"/>
    <w:rsid w:val="1FDF5682"/>
    <w:rsid w:val="1FE257DA"/>
    <w:rsid w:val="1FF6397C"/>
    <w:rsid w:val="1FFD7B6A"/>
    <w:rsid w:val="201D63C5"/>
    <w:rsid w:val="201E32BC"/>
    <w:rsid w:val="202E27A9"/>
    <w:rsid w:val="204C15E3"/>
    <w:rsid w:val="20590874"/>
    <w:rsid w:val="2080016D"/>
    <w:rsid w:val="20AA2524"/>
    <w:rsid w:val="20BE259B"/>
    <w:rsid w:val="20C74FE7"/>
    <w:rsid w:val="20E27855"/>
    <w:rsid w:val="20E52771"/>
    <w:rsid w:val="20E86A5B"/>
    <w:rsid w:val="211F5ADF"/>
    <w:rsid w:val="21262E81"/>
    <w:rsid w:val="213263D7"/>
    <w:rsid w:val="214957F4"/>
    <w:rsid w:val="215715C3"/>
    <w:rsid w:val="215A4E56"/>
    <w:rsid w:val="21786AB2"/>
    <w:rsid w:val="218447A9"/>
    <w:rsid w:val="21A57EF3"/>
    <w:rsid w:val="21AB7280"/>
    <w:rsid w:val="21B96B6E"/>
    <w:rsid w:val="21BE08F8"/>
    <w:rsid w:val="21CA20D2"/>
    <w:rsid w:val="21CC52B6"/>
    <w:rsid w:val="21DD03F9"/>
    <w:rsid w:val="21E6151B"/>
    <w:rsid w:val="21F0580E"/>
    <w:rsid w:val="22080A6C"/>
    <w:rsid w:val="221F19A1"/>
    <w:rsid w:val="222D5BB6"/>
    <w:rsid w:val="222F10D4"/>
    <w:rsid w:val="22434A3B"/>
    <w:rsid w:val="225F43CA"/>
    <w:rsid w:val="227047B3"/>
    <w:rsid w:val="227D624B"/>
    <w:rsid w:val="227F0452"/>
    <w:rsid w:val="22810163"/>
    <w:rsid w:val="2282387B"/>
    <w:rsid w:val="229E6FD1"/>
    <w:rsid w:val="22AD30E8"/>
    <w:rsid w:val="22BD0FA5"/>
    <w:rsid w:val="22C73CD3"/>
    <w:rsid w:val="22DA4F62"/>
    <w:rsid w:val="22EE6E63"/>
    <w:rsid w:val="22F40125"/>
    <w:rsid w:val="23122233"/>
    <w:rsid w:val="231B40BA"/>
    <w:rsid w:val="231C2838"/>
    <w:rsid w:val="23483D86"/>
    <w:rsid w:val="235A294A"/>
    <w:rsid w:val="235C4EB4"/>
    <w:rsid w:val="23734B07"/>
    <w:rsid w:val="237D617D"/>
    <w:rsid w:val="23900485"/>
    <w:rsid w:val="239B1A81"/>
    <w:rsid w:val="23BA42F7"/>
    <w:rsid w:val="23BE07A1"/>
    <w:rsid w:val="23CD035B"/>
    <w:rsid w:val="23D5298E"/>
    <w:rsid w:val="23D832C4"/>
    <w:rsid w:val="23E019AE"/>
    <w:rsid w:val="23EC7013"/>
    <w:rsid w:val="23FB6C29"/>
    <w:rsid w:val="2416562A"/>
    <w:rsid w:val="24184A6B"/>
    <w:rsid w:val="244B6F2B"/>
    <w:rsid w:val="24524D44"/>
    <w:rsid w:val="24787A06"/>
    <w:rsid w:val="247A7F19"/>
    <w:rsid w:val="24832E99"/>
    <w:rsid w:val="24852080"/>
    <w:rsid w:val="248D1332"/>
    <w:rsid w:val="24AB4E08"/>
    <w:rsid w:val="24B1618A"/>
    <w:rsid w:val="24C5282D"/>
    <w:rsid w:val="24DF64E1"/>
    <w:rsid w:val="24EA3E4D"/>
    <w:rsid w:val="25206C16"/>
    <w:rsid w:val="25263294"/>
    <w:rsid w:val="253A6F22"/>
    <w:rsid w:val="2562197E"/>
    <w:rsid w:val="257451FA"/>
    <w:rsid w:val="25753148"/>
    <w:rsid w:val="25771E91"/>
    <w:rsid w:val="25781847"/>
    <w:rsid w:val="259D7560"/>
    <w:rsid w:val="25A16C75"/>
    <w:rsid w:val="25A54476"/>
    <w:rsid w:val="25A912C3"/>
    <w:rsid w:val="25AB25F3"/>
    <w:rsid w:val="25B327CC"/>
    <w:rsid w:val="25B72B5D"/>
    <w:rsid w:val="25BC3B82"/>
    <w:rsid w:val="25D379AA"/>
    <w:rsid w:val="25DA0DA7"/>
    <w:rsid w:val="25DA2A06"/>
    <w:rsid w:val="262A698F"/>
    <w:rsid w:val="26542664"/>
    <w:rsid w:val="265A4E3D"/>
    <w:rsid w:val="266C1C2F"/>
    <w:rsid w:val="267019CC"/>
    <w:rsid w:val="269B6B12"/>
    <w:rsid w:val="269F40F8"/>
    <w:rsid w:val="26C00ADA"/>
    <w:rsid w:val="26C908EE"/>
    <w:rsid w:val="26E6380F"/>
    <w:rsid w:val="26E732CA"/>
    <w:rsid w:val="26F37A3B"/>
    <w:rsid w:val="26F77D8A"/>
    <w:rsid w:val="27136E44"/>
    <w:rsid w:val="271C6C36"/>
    <w:rsid w:val="27477D63"/>
    <w:rsid w:val="274D22B6"/>
    <w:rsid w:val="275706E8"/>
    <w:rsid w:val="276010A6"/>
    <w:rsid w:val="27693EDF"/>
    <w:rsid w:val="27742240"/>
    <w:rsid w:val="27796275"/>
    <w:rsid w:val="277F445A"/>
    <w:rsid w:val="278224CB"/>
    <w:rsid w:val="27842B08"/>
    <w:rsid w:val="27852F30"/>
    <w:rsid w:val="27915A8E"/>
    <w:rsid w:val="27C06C87"/>
    <w:rsid w:val="27CC6276"/>
    <w:rsid w:val="28175858"/>
    <w:rsid w:val="282A6C04"/>
    <w:rsid w:val="285E0153"/>
    <w:rsid w:val="287C3717"/>
    <w:rsid w:val="28920880"/>
    <w:rsid w:val="28CC4397"/>
    <w:rsid w:val="28CE338A"/>
    <w:rsid w:val="28DC66E9"/>
    <w:rsid w:val="28DD6327"/>
    <w:rsid w:val="28E31CB0"/>
    <w:rsid w:val="28E54FDD"/>
    <w:rsid w:val="28E81277"/>
    <w:rsid w:val="28EE1CB5"/>
    <w:rsid w:val="28F409A3"/>
    <w:rsid w:val="28F46277"/>
    <w:rsid w:val="28F50374"/>
    <w:rsid w:val="29041B39"/>
    <w:rsid w:val="29191347"/>
    <w:rsid w:val="291D5F4E"/>
    <w:rsid w:val="29267AE1"/>
    <w:rsid w:val="293871A0"/>
    <w:rsid w:val="294403B4"/>
    <w:rsid w:val="29517A83"/>
    <w:rsid w:val="29585395"/>
    <w:rsid w:val="29593DCD"/>
    <w:rsid w:val="29615E56"/>
    <w:rsid w:val="29784D68"/>
    <w:rsid w:val="297923CA"/>
    <w:rsid w:val="297F0D6D"/>
    <w:rsid w:val="29895A6C"/>
    <w:rsid w:val="298F2B39"/>
    <w:rsid w:val="299E14BE"/>
    <w:rsid w:val="29A3053C"/>
    <w:rsid w:val="29A47C96"/>
    <w:rsid w:val="29B407CD"/>
    <w:rsid w:val="29D60319"/>
    <w:rsid w:val="29EA1D29"/>
    <w:rsid w:val="29F34654"/>
    <w:rsid w:val="2A0F3BA7"/>
    <w:rsid w:val="2A127C37"/>
    <w:rsid w:val="2A1F7077"/>
    <w:rsid w:val="2A235EB5"/>
    <w:rsid w:val="2A253EC4"/>
    <w:rsid w:val="2A2C1918"/>
    <w:rsid w:val="2A3412AC"/>
    <w:rsid w:val="2A3B217B"/>
    <w:rsid w:val="2A4B7587"/>
    <w:rsid w:val="2A531042"/>
    <w:rsid w:val="2A585CB7"/>
    <w:rsid w:val="2A5F682E"/>
    <w:rsid w:val="2A6819C3"/>
    <w:rsid w:val="2A6C0367"/>
    <w:rsid w:val="2A780CAC"/>
    <w:rsid w:val="2A810DB7"/>
    <w:rsid w:val="2A8A4E79"/>
    <w:rsid w:val="2A942D2B"/>
    <w:rsid w:val="2A946631"/>
    <w:rsid w:val="2AA76325"/>
    <w:rsid w:val="2AB97ED5"/>
    <w:rsid w:val="2ADB7804"/>
    <w:rsid w:val="2AE669BD"/>
    <w:rsid w:val="2AE764DE"/>
    <w:rsid w:val="2AEE34ED"/>
    <w:rsid w:val="2B0807C1"/>
    <w:rsid w:val="2B0F4574"/>
    <w:rsid w:val="2B3C5C7C"/>
    <w:rsid w:val="2B582F5B"/>
    <w:rsid w:val="2B5A5585"/>
    <w:rsid w:val="2B6B20B1"/>
    <w:rsid w:val="2B824DCB"/>
    <w:rsid w:val="2BA151B9"/>
    <w:rsid w:val="2BAF7E19"/>
    <w:rsid w:val="2BB07D7F"/>
    <w:rsid w:val="2BC27D53"/>
    <w:rsid w:val="2BD52F9E"/>
    <w:rsid w:val="2BDB50D7"/>
    <w:rsid w:val="2BED00F4"/>
    <w:rsid w:val="2C0A62A1"/>
    <w:rsid w:val="2C1830DD"/>
    <w:rsid w:val="2C1F0D8A"/>
    <w:rsid w:val="2C310125"/>
    <w:rsid w:val="2C3762AF"/>
    <w:rsid w:val="2C556421"/>
    <w:rsid w:val="2C5911AC"/>
    <w:rsid w:val="2C707A53"/>
    <w:rsid w:val="2C761EC4"/>
    <w:rsid w:val="2CB82648"/>
    <w:rsid w:val="2D052B14"/>
    <w:rsid w:val="2D1C7AEF"/>
    <w:rsid w:val="2D3840C7"/>
    <w:rsid w:val="2D595DBE"/>
    <w:rsid w:val="2D8811A6"/>
    <w:rsid w:val="2D8B279C"/>
    <w:rsid w:val="2D946630"/>
    <w:rsid w:val="2D9618ED"/>
    <w:rsid w:val="2D9777FA"/>
    <w:rsid w:val="2DAC020F"/>
    <w:rsid w:val="2DBA2994"/>
    <w:rsid w:val="2DD85126"/>
    <w:rsid w:val="2DE368DE"/>
    <w:rsid w:val="2E176F03"/>
    <w:rsid w:val="2E2010DC"/>
    <w:rsid w:val="2E310F7B"/>
    <w:rsid w:val="2E4E3874"/>
    <w:rsid w:val="2E6E0B8A"/>
    <w:rsid w:val="2E7E6540"/>
    <w:rsid w:val="2E850FF5"/>
    <w:rsid w:val="2E884A0A"/>
    <w:rsid w:val="2EB0219A"/>
    <w:rsid w:val="2EB25688"/>
    <w:rsid w:val="2EBA0D87"/>
    <w:rsid w:val="2EC53C1B"/>
    <w:rsid w:val="2EF4363A"/>
    <w:rsid w:val="2F09508A"/>
    <w:rsid w:val="2F0C426E"/>
    <w:rsid w:val="2F0D66F4"/>
    <w:rsid w:val="2F0E6939"/>
    <w:rsid w:val="2F1F49EF"/>
    <w:rsid w:val="2F2F2AB8"/>
    <w:rsid w:val="2F304C0F"/>
    <w:rsid w:val="2F36051C"/>
    <w:rsid w:val="2F444F7E"/>
    <w:rsid w:val="2F460DC2"/>
    <w:rsid w:val="2F4E3650"/>
    <w:rsid w:val="2F4E7C87"/>
    <w:rsid w:val="2F4F1CC8"/>
    <w:rsid w:val="2F757C7D"/>
    <w:rsid w:val="2F7B1237"/>
    <w:rsid w:val="2F815651"/>
    <w:rsid w:val="2F8775B0"/>
    <w:rsid w:val="2F880820"/>
    <w:rsid w:val="2F8D11C9"/>
    <w:rsid w:val="2FAC219C"/>
    <w:rsid w:val="2FAF1BBC"/>
    <w:rsid w:val="2FB1389B"/>
    <w:rsid w:val="2FB60047"/>
    <w:rsid w:val="2FDC14D3"/>
    <w:rsid w:val="2FDF392F"/>
    <w:rsid w:val="2FF52E8A"/>
    <w:rsid w:val="30286E25"/>
    <w:rsid w:val="3043047C"/>
    <w:rsid w:val="30507042"/>
    <w:rsid w:val="305132BD"/>
    <w:rsid w:val="305A6DF0"/>
    <w:rsid w:val="305C650C"/>
    <w:rsid w:val="30804B5A"/>
    <w:rsid w:val="30867334"/>
    <w:rsid w:val="308B19BC"/>
    <w:rsid w:val="30925AA9"/>
    <w:rsid w:val="309849E1"/>
    <w:rsid w:val="30C46240"/>
    <w:rsid w:val="30CA2D6A"/>
    <w:rsid w:val="30DE2065"/>
    <w:rsid w:val="30E433F9"/>
    <w:rsid w:val="30E443BB"/>
    <w:rsid w:val="30EE283D"/>
    <w:rsid w:val="30FB2FFA"/>
    <w:rsid w:val="30FC0BCE"/>
    <w:rsid w:val="31017BE7"/>
    <w:rsid w:val="31100C90"/>
    <w:rsid w:val="31177663"/>
    <w:rsid w:val="31260F9E"/>
    <w:rsid w:val="31305DAB"/>
    <w:rsid w:val="313639E9"/>
    <w:rsid w:val="31440DC2"/>
    <w:rsid w:val="314D162F"/>
    <w:rsid w:val="315E3975"/>
    <w:rsid w:val="31745C90"/>
    <w:rsid w:val="317F0EDF"/>
    <w:rsid w:val="318B0E61"/>
    <w:rsid w:val="31A121A9"/>
    <w:rsid w:val="31AB28B8"/>
    <w:rsid w:val="31E242B8"/>
    <w:rsid w:val="31E549ED"/>
    <w:rsid w:val="31EA25B1"/>
    <w:rsid w:val="31EF4BFA"/>
    <w:rsid w:val="3201033B"/>
    <w:rsid w:val="32075986"/>
    <w:rsid w:val="321165F0"/>
    <w:rsid w:val="32174C8D"/>
    <w:rsid w:val="322A51F8"/>
    <w:rsid w:val="32475107"/>
    <w:rsid w:val="324C5764"/>
    <w:rsid w:val="324D2CD0"/>
    <w:rsid w:val="32535AF2"/>
    <w:rsid w:val="32557440"/>
    <w:rsid w:val="32603BCC"/>
    <w:rsid w:val="326A38BB"/>
    <w:rsid w:val="326A6DA1"/>
    <w:rsid w:val="326D76DA"/>
    <w:rsid w:val="326E17A9"/>
    <w:rsid w:val="328A57A8"/>
    <w:rsid w:val="328E78A8"/>
    <w:rsid w:val="329024E1"/>
    <w:rsid w:val="32A468A4"/>
    <w:rsid w:val="32B868F3"/>
    <w:rsid w:val="32C3704B"/>
    <w:rsid w:val="32C540C1"/>
    <w:rsid w:val="32C638BB"/>
    <w:rsid w:val="32D56B23"/>
    <w:rsid w:val="32D66E42"/>
    <w:rsid w:val="32DE61FC"/>
    <w:rsid w:val="32E5091D"/>
    <w:rsid w:val="32F90960"/>
    <w:rsid w:val="32FA1B5C"/>
    <w:rsid w:val="32FD1870"/>
    <w:rsid w:val="3347398C"/>
    <w:rsid w:val="334B5CE2"/>
    <w:rsid w:val="334D63CC"/>
    <w:rsid w:val="33586216"/>
    <w:rsid w:val="33593E90"/>
    <w:rsid w:val="3361101C"/>
    <w:rsid w:val="33742863"/>
    <w:rsid w:val="337934E4"/>
    <w:rsid w:val="33814110"/>
    <w:rsid w:val="33841C49"/>
    <w:rsid w:val="338F613E"/>
    <w:rsid w:val="339B338B"/>
    <w:rsid w:val="33A6526A"/>
    <w:rsid w:val="33C94011"/>
    <w:rsid w:val="33CA0D3F"/>
    <w:rsid w:val="33CE5844"/>
    <w:rsid w:val="33CF6588"/>
    <w:rsid w:val="33DA7B2C"/>
    <w:rsid w:val="33DE55FE"/>
    <w:rsid w:val="33E62A74"/>
    <w:rsid w:val="3417615C"/>
    <w:rsid w:val="34271EF5"/>
    <w:rsid w:val="343B6A29"/>
    <w:rsid w:val="344D7E0D"/>
    <w:rsid w:val="345027C3"/>
    <w:rsid w:val="345839B8"/>
    <w:rsid w:val="346E254F"/>
    <w:rsid w:val="349114AA"/>
    <w:rsid w:val="349A0203"/>
    <w:rsid w:val="34CF0A6B"/>
    <w:rsid w:val="34D74EA4"/>
    <w:rsid w:val="34DB6200"/>
    <w:rsid w:val="34ED3A79"/>
    <w:rsid w:val="35050642"/>
    <w:rsid w:val="35193C82"/>
    <w:rsid w:val="35235D82"/>
    <w:rsid w:val="354C4D7A"/>
    <w:rsid w:val="355065B1"/>
    <w:rsid w:val="35612060"/>
    <w:rsid w:val="356D1363"/>
    <w:rsid w:val="356D65BC"/>
    <w:rsid w:val="357E1F1A"/>
    <w:rsid w:val="35986984"/>
    <w:rsid w:val="35A173E0"/>
    <w:rsid w:val="35A235C5"/>
    <w:rsid w:val="35A62B8D"/>
    <w:rsid w:val="35AC0649"/>
    <w:rsid w:val="35B12E07"/>
    <w:rsid w:val="35B90A04"/>
    <w:rsid w:val="35D97096"/>
    <w:rsid w:val="35E90EF2"/>
    <w:rsid w:val="36022260"/>
    <w:rsid w:val="36041FA0"/>
    <w:rsid w:val="36080E5F"/>
    <w:rsid w:val="363E7A67"/>
    <w:rsid w:val="367F1F9B"/>
    <w:rsid w:val="36933C63"/>
    <w:rsid w:val="36957A05"/>
    <w:rsid w:val="36985403"/>
    <w:rsid w:val="369E374A"/>
    <w:rsid w:val="36A10904"/>
    <w:rsid w:val="36AB2DE2"/>
    <w:rsid w:val="36B36079"/>
    <w:rsid w:val="36BC5A8E"/>
    <w:rsid w:val="36CF15F2"/>
    <w:rsid w:val="36D6647D"/>
    <w:rsid w:val="36D864E7"/>
    <w:rsid w:val="36E746EC"/>
    <w:rsid w:val="36E84DAA"/>
    <w:rsid w:val="36FC56A6"/>
    <w:rsid w:val="36FD1531"/>
    <w:rsid w:val="370311F1"/>
    <w:rsid w:val="37083948"/>
    <w:rsid w:val="370F2C67"/>
    <w:rsid w:val="373D1B5C"/>
    <w:rsid w:val="377A7C83"/>
    <w:rsid w:val="37957B04"/>
    <w:rsid w:val="37B50F08"/>
    <w:rsid w:val="37D21BD6"/>
    <w:rsid w:val="37ED2C24"/>
    <w:rsid w:val="38064C2F"/>
    <w:rsid w:val="38387330"/>
    <w:rsid w:val="38424DF3"/>
    <w:rsid w:val="38436277"/>
    <w:rsid w:val="38527EE8"/>
    <w:rsid w:val="38771F3E"/>
    <w:rsid w:val="38834186"/>
    <w:rsid w:val="38A81539"/>
    <w:rsid w:val="38B05D39"/>
    <w:rsid w:val="38B47A60"/>
    <w:rsid w:val="38B56380"/>
    <w:rsid w:val="38B642D4"/>
    <w:rsid w:val="38DD66FC"/>
    <w:rsid w:val="38E76CAF"/>
    <w:rsid w:val="38F23BF4"/>
    <w:rsid w:val="38F655F0"/>
    <w:rsid w:val="39102094"/>
    <w:rsid w:val="391567F0"/>
    <w:rsid w:val="391D3138"/>
    <w:rsid w:val="391E78C0"/>
    <w:rsid w:val="393033AA"/>
    <w:rsid w:val="39322C69"/>
    <w:rsid w:val="393E1CD7"/>
    <w:rsid w:val="39581830"/>
    <w:rsid w:val="39984A8D"/>
    <w:rsid w:val="39A47D29"/>
    <w:rsid w:val="39A833EC"/>
    <w:rsid w:val="39C31FEA"/>
    <w:rsid w:val="39C856E7"/>
    <w:rsid w:val="39D00B4E"/>
    <w:rsid w:val="39DF74AE"/>
    <w:rsid w:val="39E571B3"/>
    <w:rsid w:val="3A027CCA"/>
    <w:rsid w:val="3A412E50"/>
    <w:rsid w:val="3A4A739F"/>
    <w:rsid w:val="3A766DD2"/>
    <w:rsid w:val="3AA30B92"/>
    <w:rsid w:val="3AA70F4A"/>
    <w:rsid w:val="3AAA5594"/>
    <w:rsid w:val="3AAA5A22"/>
    <w:rsid w:val="3AAC46ED"/>
    <w:rsid w:val="3AB73E43"/>
    <w:rsid w:val="3ADB5FDD"/>
    <w:rsid w:val="3AE73BA0"/>
    <w:rsid w:val="3AFB3DE4"/>
    <w:rsid w:val="3B4710A4"/>
    <w:rsid w:val="3B4B4222"/>
    <w:rsid w:val="3B4E3832"/>
    <w:rsid w:val="3B5461D4"/>
    <w:rsid w:val="3B6360DF"/>
    <w:rsid w:val="3B6558F3"/>
    <w:rsid w:val="3B687134"/>
    <w:rsid w:val="3B6A33B9"/>
    <w:rsid w:val="3B8922F0"/>
    <w:rsid w:val="3B9B4ED7"/>
    <w:rsid w:val="3BAD4529"/>
    <w:rsid w:val="3BB14A2E"/>
    <w:rsid w:val="3BC67ADB"/>
    <w:rsid w:val="3BCB5B82"/>
    <w:rsid w:val="3BCD2976"/>
    <w:rsid w:val="3BD067DC"/>
    <w:rsid w:val="3BDE070D"/>
    <w:rsid w:val="3BF463F6"/>
    <w:rsid w:val="3C0E543B"/>
    <w:rsid w:val="3C123E0A"/>
    <w:rsid w:val="3C16035A"/>
    <w:rsid w:val="3C4D7D24"/>
    <w:rsid w:val="3C525181"/>
    <w:rsid w:val="3C5C0877"/>
    <w:rsid w:val="3C6262ED"/>
    <w:rsid w:val="3C6E16C3"/>
    <w:rsid w:val="3C827CF9"/>
    <w:rsid w:val="3C950565"/>
    <w:rsid w:val="3C976AEB"/>
    <w:rsid w:val="3CA24BB0"/>
    <w:rsid w:val="3CA25AFF"/>
    <w:rsid w:val="3CB72584"/>
    <w:rsid w:val="3CBC5885"/>
    <w:rsid w:val="3CC6167E"/>
    <w:rsid w:val="3CF30FA2"/>
    <w:rsid w:val="3D060281"/>
    <w:rsid w:val="3D17052C"/>
    <w:rsid w:val="3D212019"/>
    <w:rsid w:val="3D29695F"/>
    <w:rsid w:val="3D540643"/>
    <w:rsid w:val="3D6C4A34"/>
    <w:rsid w:val="3D6F5755"/>
    <w:rsid w:val="3D7C2678"/>
    <w:rsid w:val="3D7C549B"/>
    <w:rsid w:val="3D7D0D65"/>
    <w:rsid w:val="3D980B47"/>
    <w:rsid w:val="3DBB4FC7"/>
    <w:rsid w:val="3DCB7DF6"/>
    <w:rsid w:val="3DD25F09"/>
    <w:rsid w:val="3DDF6651"/>
    <w:rsid w:val="3DE37E0D"/>
    <w:rsid w:val="3E0D584F"/>
    <w:rsid w:val="3E0F022B"/>
    <w:rsid w:val="3E130F14"/>
    <w:rsid w:val="3E2713C3"/>
    <w:rsid w:val="3E2F7702"/>
    <w:rsid w:val="3E321032"/>
    <w:rsid w:val="3E484569"/>
    <w:rsid w:val="3E827320"/>
    <w:rsid w:val="3EA4209C"/>
    <w:rsid w:val="3EE009C6"/>
    <w:rsid w:val="3EE96813"/>
    <w:rsid w:val="3EFA6622"/>
    <w:rsid w:val="3F051FA6"/>
    <w:rsid w:val="3F135C8D"/>
    <w:rsid w:val="3F236805"/>
    <w:rsid w:val="3F324200"/>
    <w:rsid w:val="3F36114B"/>
    <w:rsid w:val="3F594D44"/>
    <w:rsid w:val="3F5A34FD"/>
    <w:rsid w:val="3F5E2592"/>
    <w:rsid w:val="3F6415F4"/>
    <w:rsid w:val="3F741F8E"/>
    <w:rsid w:val="3F763A3D"/>
    <w:rsid w:val="3F787197"/>
    <w:rsid w:val="3F85305B"/>
    <w:rsid w:val="3FA669B8"/>
    <w:rsid w:val="3FCB3BC4"/>
    <w:rsid w:val="3FCF2F61"/>
    <w:rsid w:val="3FFA3047"/>
    <w:rsid w:val="3FFB5F56"/>
    <w:rsid w:val="3FFB70F4"/>
    <w:rsid w:val="4015468D"/>
    <w:rsid w:val="40282A20"/>
    <w:rsid w:val="40436F1E"/>
    <w:rsid w:val="407366B7"/>
    <w:rsid w:val="407D583B"/>
    <w:rsid w:val="40802C8E"/>
    <w:rsid w:val="40951D4A"/>
    <w:rsid w:val="409564A6"/>
    <w:rsid w:val="409F2DC3"/>
    <w:rsid w:val="40AF18E0"/>
    <w:rsid w:val="40BA2E30"/>
    <w:rsid w:val="40BB4D9E"/>
    <w:rsid w:val="40BC4EFB"/>
    <w:rsid w:val="40D404C7"/>
    <w:rsid w:val="40E34F07"/>
    <w:rsid w:val="40F901E3"/>
    <w:rsid w:val="40F96B7D"/>
    <w:rsid w:val="41126DC1"/>
    <w:rsid w:val="413B64A2"/>
    <w:rsid w:val="414C7475"/>
    <w:rsid w:val="415372AF"/>
    <w:rsid w:val="41622743"/>
    <w:rsid w:val="4194794B"/>
    <w:rsid w:val="419D3840"/>
    <w:rsid w:val="41C64E47"/>
    <w:rsid w:val="41D10697"/>
    <w:rsid w:val="41DE2070"/>
    <w:rsid w:val="41F132D1"/>
    <w:rsid w:val="422C77AC"/>
    <w:rsid w:val="42436234"/>
    <w:rsid w:val="4255624B"/>
    <w:rsid w:val="42673672"/>
    <w:rsid w:val="426D3163"/>
    <w:rsid w:val="4275038C"/>
    <w:rsid w:val="427825C4"/>
    <w:rsid w:val="428C779E"/>
    <w:rsid w:val="429C0A28"/>
    <w:rsid w:val="42B3659F"/>
    <w:rsid w:val="42B84798"/>
    <w:rsid w:val="42C6275F"/>
    <w:rsid w:val="42F35F2F"/>
    <w:rsid w:val="42F81EFA"/>
    <w:rsid w:val="42F97BCE"/>
    <w:rsid w:val="43027626"/>
    <w:rsid w:val="432B7BEA"/>
    <w:rsid w:val="43307F9E"/>
    <w:rsid w:val="433909E8"/>
    <w:rsid w:val="43481186"/>
    <w:rsid w:val="435841A6"/>
    <w:rsid w:val="436B6426"/>
    <w:rsid w:val="43A01A3E"/>
    <w:rsid w:val="43A24234"/>
    <w:rsid w:val="43A441E0"/>
    <w:rsid w:val="43A8597B"/>
    <w:rsid w:val="43B82F88"/>
    <w:rsid w:val="43C75319"/>
    <w:rsid w:val="43C76305"/>
    <w:rsid w:val="440863C9"/>
    <w:rsid w:val="44396FA2"/>
    <w:rsid w:val="443C2C99"/>
    <w:rsid w:val="445450FC"/>
    <w:rsid w:val="44554AE3"/>
    <w:rsid w:val="445D2F82"/>
    <w:rsid w:val="44624315"/>
    <w:rsid w:val="447332A4"/>
    <w:rsid w:val="44834DBE"/>
    <w:rsid w:val="449337D3"/>
    <w:rsid w:val="44AE6784"/>
    <w:rsid w:val="44C31706"/>
    <w:rsid w:val="44C90DDE"/>
    <w:rsid w:val="44D305A6"/>
    <w:rsid w:val="44DA1A0F"/>
    <w:rsid w:val="44DF127F"/>
    <w:rsid w:val="44F34D07"/>
    <w:rsid w:val="44F97BAC"/>
    <w:rsid w:val="45023B71"/>
    <w:rsid w:val="4509688C"/>
    <w:rsid w:val="45146DC7"/>
    <w:rsid w:val="451C1C47"/>
    <w:rsid w:val="452F713A"/>
    <w:rsid w:val="45357C7C"/>
    <w:rsid w:val="454D5AA2"/>
    <w:rsid w:val="455E7792"/>
    <w:rsid w:val="456249AC"/>
    <w:rsid w:val="456A6E3E"/>
    <w:rsid w:val="457B7F4F"/>
    <w:rsid w:val="45811DDA"/>
    <w:rsid w:val="459B366D"/>
    <w:rsid w:val="45A26669"/>
    <w:rsid w:val="45A4479E"/>
    <w:rsid w:val="45D20D23"/>
    <w:rsid w:val="45EA06F9"/>
    <w:rsid w:val="45EE666D"/>
    <w:rsid w:val="45F30DB8"/>
    <w:rsid w:val="46056B0C"/>
    <w:rsid w:val="461D1AEB"/>
    <w:rsid w:val="462179EA"/>
    <w:rsid w:val="46396D87"/>
    <w:rsid w:val="4646512C"/>
    <w:rsid w:val="46472378"/>
    <w:rsid w:val="465011D1"/>
    <w:rsid w:val="46784C5D"/>
    <w:rsid w:val="468C62B5"/>
    <w:rsid w:val="46901582"/>
    <w:rsid w:val="46960557"/>
    <w:rsid w:val="46B71475"/>
    <w:rsid w:val="46BC6CDB"/>
    <w:rsid w:val="46BC7FFF"/>
    <w:rsid w:val="46D921AD"/>
    <w:rsid w:val="46E1294A"/>
    <w:rsid w:val="471250E6"/>
    <w:rsid w:val="47265A0C"/>
    <w:rsid w:val="472944B9"/>
    <w:rsid w:val="472A3BB4"/>
    <w:rsid w:val="47301934"/>
    <w:rsid w:val="473E638B"/>
    <w:rsid w:val="4740061F"/>
    <w:rsid w:val="474640ED"/>
    <w:rsid w:val="474A009D"/>
    <w:rsid w:val="47502C72"/>
    <w:rsid w:val="47601555"/>
    <w:rsid w:val="47602D1B"/>
    <w:rsid w:val="4763277F"/>
    <w:rsid w:val="476E514D"/>
    <w:rsid w:val="47797CDA"/>
    <w:rsid w:val="47991B44"/>
    <w:rsid w:val="47B7781A"/>
    <w:rsid w:val="47B91F53"/>
    <w:rsid w:val="47CA659D"/>
    <w:rsid w:val="47DE4897"/>
    <w:rsid w:val="47EE2683"/>
    <w:rsid w:val="47F12A30"/>
    <w:rsid w:val="480F7EEC"/>
    <w:rsid w:val="48295411"/>
    <w:rsid w:val="483A27C7"/>
    <w:rsid w:val="483F113A"/>
    <w:rsid w:val="48417C1F"/>
    <w:rsid w:val="485F3253"/>
    <w:rsid w:val="489A258D"/>
    <w:rsid w:val="48A5745A"/>
    <w:rsid w:val="48B15160"/>
    <w:rsid w:val="48B21DDE"/>
    <w:rsid w:val="48B54A28"/>
    <w:rsid w:val="48BB579B"/>
    <w:rsid w:val="48C20F69"/>
    <w:rsid w:val="48C748BB"/>
    <w:rsid w:val="48D62FBA"/>
    <w:rsid w:val="48EC469F"/>
    <w:rsid w:val="49151152"/>
    <w:rsid w:val="491A4C5C"/>
    <w:rsid w:val="49234497"/>
    <w:rsid w:val="49262C0C"/>
    <w:rsid w:val="4942478C"/>
    <w:rsid w:val="49501522"/>
    <w:rsid w:val="49556F64"/>
    <w:rsid w:val="4957357C"/>
    <w:rsid w:val="495B3F07"/>
    <w:rsid w:val="496158EA"/>
    <w:rsid w:val="496B35AB"/>
    <w:rsid w:val="498271FF"/>
    <w:rsid w:val="498E17F1"/>
    <w:rsid w:val="499642B5"/>
    <w:rsid w:val="49A03AB7"/>
    <w:rsid w:val="49A53BB9"/>
    <w:rsid w:val="49A670B6"/>
    <w:rsid w:val="49D74F42"/>
    <w:rsid w:val="4A024AC4"/>
    <w:rsid w:val="4A1E62FE"/>
    <w:rsid w:val="4A3D4584"/>
    <w:rsid w:val="4A4028A8"/>
    <w:rsid w:val="4A441AB2"/>
    <w:rsid w:val="4A461F6A"/>
    <w:rsid w:val="4A580775"/>
    <w:rsid w:val="4A721708"/>
    <w:rsid w:val="4A7C56E2"/>
    <w:rsid w:val="4A8F6F72"/>
    <w:rsid w:val="4AAD1A38"/>
    <w:rsid w:val="4AD861A0"/>
    <w:rsid w:val="4AED01C2"/>
    <w:rsid w:val="4AF05DED"/>
    <w:rsid w:val="4AF96E8D"/>
    <w:rsid w:val="4B16650E"/>
    <w:rsid w:val="4B1D36CC"/>
    <w:rsid w:val="4B374F13"/>
    <w:rsid w:val="4B4E60E8"/>
    <w:rsid w:val="4B531315"/>
    <w:rsid w:val="4B563FAE"/>
    <w:rsid w:val="4B616097"/>
    <w:rsid w:val="4B845150"/>
    <w:rsid w:val="4B891932"/>
    <w:rsid w:val="4BA11B85"/>
    <w:rsid w:val="4BD44586"/>
    <w:rsid w:val="4BD747F2"/>
    <w:rsid w:val="4BEB12D2"/>
    <w:rsid w:val="4BF33F2B"/>
    <w:rsid w:val="4C00555E"/>
    <w:rsid w:val="4C1B6493"/>
    <w:rsid w:val="4C2953FA"/>
    <w:rsid w:val="4C2B2883"/>
    <w:rsid w:val="4C557E7B"/>
    <w:rsid w:val="4C61043D"/>
    <w:rsid w:val="4C631352"/>
    <w:rsid w:val="4C9965A0"/>
    <w:rsid w:val="4C9E5F81"/>
    <w:rsid w:val="4CA80E2C"/>
    <w:rsid w:val="4CE27066"/>
    <w:rsid w:val="4CE777E7"/>
    <w:rsid w:val="4CF125D4"/>
    <w:rsid w:val="4CF151E6"/>
    <w:rsid w:val="4CF43E19"/>
    <w:rsid w:val="4D0817AE"/>
    <w:rsid w:val="4D1D692D"/>
    <w:rsid w:val="4D553435"/>
    <w:rsid w:val="4D5701A7"/>
    <w:rsid w:val="4D9D4562"/>
    <w:rsid w:val="4DA11F14"/>
    <w:rsid w:val="4DB23FCB"/>
    <w:rsid w:val="4DBF1F8E"/>
    <w:rsid w:val="4DCB1AB4"/>
    <w:rsid w:val="4DF80F02"/>
    <w:rsid w:val="4DF810AB"/>
    <w:rsid w:val="4DFC78AA"/>
    <w:rsid w:val="4E16723F"/>
    <w:rsid w:val="4E231E6B"/>
    <w:rsid w:val="4E4613C0"/>
    <w:rsid w:val="4E5311CB"/>
    <w:rsid w:val="4E686044"/>
    <w:rsid w:val="4E6B743F"/>
    <w:rsid w:val="4E876405"/>
    <w:rsid w:val="4E907281"/>
    <w:rsid w:val="4EB237D2"/>
    <w:rsid w:val="4EB264E3"/>
    <w:rsid w:val="4ECA15EE"/>
    <w:rsid w:val="4ED34853"/>
    <w:rsid w:val="4EDB615B"/>
    <w:rsid w:val="4F001F9C"/>
    <w:rsid w:val="4F152568"/>
    <w:rsid w:val="4F35453B"/>
    <w:rsid w:val="4F4B2017"/>
    <w:rsid w:val="4F4C49AD"/>
    <w:rsid w:val="4F5F79B6"/>
    <w:rsid w:val="4F6C3E51"/>
    <w:rsid w:val="4F7D3579"/>
    <w:rsid w:val="4FA866D0"/>
    <w:rsid w:val="4FB659F4"/>
    <w:rsid w:val="4FC40184"/>
    <w:rsid w:val="4FC61FE0"/>
    <w:rsid w:val="4FC81A06"/>
    <w:rsid w:val="4FD53BD8"/>
    <w:rsid w:val="4FEC0D9C"/>
    <w:rsid w:val="4FFE75AC"/>
    <w:rsid w:val="501D27A0"/>
    <w:rsid w:val="50202DB5"/>
    <w:rsid w:val="50255FC3"/>
    <w:rsid w:val="502E13E7"/>
    <w:rsid w:val="50300CD2"/>
    <w:rsid w:val="504733FA"/>
    <w:rsid w:val="504D12DC"/>
    <w:rsid w:val="50571CBB"/>
    <w:rsid w:val="50627A5F"/>
    <w:rsid w:val="508F1D1D"/>
    <w:rsid w:val="50942739"/>
    <w:rsid w:val="50A0287B"/>
    <w:rsid w:val="50A64D36"/>
    <w:rsid w:val="50C3496D"/>
    <w:rsid w:val="50DA442C"/>
    <w:rsid w:val="50DB1A16"/>
    <w:rsid w:val="50FA049F"/>
    <w:rsid w:val="51045213"/>
    <w:rsid w:val="510530B7"/>
    <w:rsid w:val="51081640"/>
    <w:rsid w:val="510E5FBC"/>
    <w:rsid w:val="51133B36"/>
    <w:rsid w:val="51134702"/>
    <w:rsid w:val="51155C96"/>
    <w:rsid w:val="511B2E9A"/>
    <w:rsid w:val="51211EA9"/>
    <w:rsid w:val="514739AC"/>
    <w:rsid w:val="5169749E"/>
    <w:rsid w:val="51882746"/>
    <w:rsid w:val="51A86C7E"/>
    <w:rsid w:val="51B021EF"/>
    <w:rsid w:val="51B044DE"/>
    <w:rsid w:val="51BF6876"/>
    <w:rsid w:val="51C87341"/>
    <w:rsid w:val="51D238AE"/>
    <w:rsid w:val="51DC7B28"/>
    <w:rsid w:val="51E624FE"/>
    <w:rsid w:val="521B1E0C"/>
    <w:rsid w:val="521F0757"/>
    <w:rsid w:val="521F0AA4"/>
    <w:rsid w:val="52367E15"/>
    <w:rsid w:val="52610C37"/>
    <w:rsid w:val="526828D0"/>
    <w:rsid w:val="528444FA"/>
    <w:rsid w:val="52881CAE"/>
    <w:rsid w:val="52A4210B"/>
    <w:rsid w:val="52B535AA"/>
    <w:rsid w:val="52C30A13"/>
    <w:rsid w:val="52D60CB0"/>
    <w:rsid w:val="52D977DA"/>
    <w:rsid w:val="52E16CC6"/>
    <w:rsid w:val="52E41ED5"/>
    <w:rsid w:val="52EC20C5"/>
    <w:rsid w:val="52FC79F3"/>
    <w:rsid w:val="531A1AED"/>
    <w:rsid w:val="5321440B"/>
    <w:rsid w:val="532D285F"/>
    <w:rsid w:val="533F567E"/>
    <w:rsid w:val="5341078D"/>
    <w:rsid w:val="5341771F"/>
    <w:rsid w:val="534574DA"/>
    <w:rsid w:val="53726B60"/>
    <w:rsid w:val="53990574"/>
    <w:rsid w:val="53A4762A"/>
    <w:rsid w:val="53AA6F54"/>
    <w:rsid w:val="53B57167"/>
    <w:rsid w:val="53BE568D"/>
    <w:rsid w:val="53D1724A"/>
    <w:rsid w:val="53D764FA"/>
    <w:rsid w:val="53D94D85"/>
    <w:rsid w:val="53E11F48"/>
    <w:rsid w:val="53E14644"/>
    <w:rsid w:val="53E81D65"/>
    <w:rsid w:val="54004734"/>
    <w:rsid w:val="54035543"/>
    <w:rsid w:val="541214D7"/>
    <w:rsid w:val="542A081A"/>
    <w:rsid w:val="542C6514"/>
    <w:rsid w:val="54413E1E"/>
    <w:rsid w:val="5441634E"/>
    <w:rsid w:val="5442291C"/>
    <w:rsid w:val="54583A05"/>
    <w:rsid w:val="548449E8"/>
    <w:rsid w:val="548777F1"/>
    <w:rsid w:val="54AA0F6F"/>
    <w:rsid w:val="54B36A5B"/>
    <w:rsid w:val="54C63A5D"/>
    <w:rsid w:val="54C82B87"/>
    <w:rsid w:val="54EF1F64"/>
    <w:rsid w:val="54F52E66"/>
    <w:rsid w:val="551177DA"/>
    <w:rsid w:val="552C65B1"/>
    <w:rsid w:val="55520058"/>
    <w:rsid w:val="555E25F5"/>
    <w:rsid w:val="556A3140"/>
    <w:rsid w:val="55766F92"/>
    <w:rsid w:val="55794874"/>
    <w:rsid w:val="557B26A0"/>
    <w:rsid w:val="557D3004"/>
    <w:rsid w:val="557F0659"/>
    <w:rsid w:val="559027BE"/>
    <w:rsid w:val="55B8083F"/>
    <w:rsid w:val="55C628FD"/>
    <w:rsid w:val="55C962C8"/>
    <w:rsid w:val="55CB6B7D"/>
    <w:rsid w:val="55D61B07"/>
    <w:rsid w:val="55F333D6"/>
    <w:rsid w:val="56064971"/>
    <w:rsid w:val="56085A6E"/>
    <w:rsid w:val="560E3F81"/>
    <w:rsid w:val="56104024"/>
    <w:rsid w:val="56191EB8"/>
    <w:rsid w:val="561B27B2"/>
    <w:rsid w:val="563238F9"/>
    <w:rsid w:val="5633002D"/>
    <w:rsid w:val="564A1314"/>
    <w:rsid w:val="56560F2A"/>
    <w:rsid w:val="565B1723"/>
    <w:rsid w:val="56697F6E"/>
    <w:rsid w:val="56804190"/>
    <w:rsid w:val="56940217"/>
    <w:rsid w:val="56A16EE2"/>
    <w:rsid w:val="56A60FEC"/>
    <w:rsid w:val="56B032E6"/>
    <w:rsid w:val="56B16CF0"/>
    <w:rsid w:val="56BB7CE4"/>
    <w:rsid w:val="56BD7445"/>
    <w:rsid w:val="56CC11A2"/>
    <w:rsid w:val="56D45260"/>
    <w:rsid w:val="56F91CAD"/>
    <w:rsid w:val="570507AE"/>
    <w:rsid w:val="574A4F3C"/>
    <w:rsid w:val="576055B5"/>
    <w:rsid w:val="576D4A79"/>
    <w:rsid w:val="576E6D30"/>
    <w:rsid w:val="5777784C"/>
    <w:rsid w:val="57823FB6"/>
    <w:rsid w:val="57832958"/>
    <w:rsid w:val="579165F1"/>
    <w:rsid w:val="57AB455B"/>
    <w:rsid w:val="57C353BB"/>
    <w:rsid w:val="57C72860"/>
    <w:rsid w:val="57D56FE2"/>
    <w:rsid w:val="57E62971"/>
    <w:rsid w:val="57F01777"/>
    <w:rsid w:val="57F30B35"/>
    <w:rsid w:val="57F35352"/>
    <w:rsid w:val="581449C2"/>
    <w:rsid w:val="58167D28"/>
    <w:rsid w:val="581839E6"/>
    <w:rsid w:val="583877DD"/>
    <w:rsid w:val="58544540"/>
    <w:rsid w:val="585F62A0"/>
    <w:rsid w:val="58934733"/>
    <w:rsid w:val="58B05AA6"/>
    <w:rsid w:val="58C25FE5"/>
    <w:rsid w:val="58E545D9"/>
    <w:rsid w:val="58EE5713"/>
    <w:rsid w:val="58FA409B"/>
    <w:rsid w:val="592404CA"/>
    <w:rsid w:val="59381F3B"/>
    <w:rsid w:val="594F1028"/>
    <w:rsid w:val="595038B0"/>
    <w:rsid w:val="5958603C"/>
    <w:rsid w:val="595C4A24"/>
    <w:rsid w:val="59671A94"/>
    <w:rsid w:val="596D0588"/>
    <w:rsid w:val="598F65C1"/>
    <w:rsid w:val="59A41ECD"/>
    <w:rsid w:val="59AB3650"/>
    <w:rsid w:val="59C26157"/>
    <w:rsid w:val="59D30838"/>
    <w:rsid w:val="59D62EF1"/>
    <w:rsid w:val="59E53C9B"/>
    <w:rsid w:val="59FA7BF8"/>
    <w:rsid w:val="5A04788C"/>
    <w:rsid w:val="5A0569BF"/>
    <w:rsid w:val="5A125ADD"/>
    <w:rsid w:val="5A1309E0"/>
    <w:rsid w:val="5A293542"/>
    <w:rsid w:val="5A502D25"/>
    <w:rsid w:val="5A6164C6"/>
    <w:rsid w:val="5A633C6B"/>
    <w:rsid w:val="5A704872"/>
    <w:rsid w:val="5A800EC2"/>
    <w:rsid w:val="5A855198"/>
    <w:rsid w:val="5A8569E1"/>
    <w:rsid w:val="5AA5367F"/>
    <w:rsid w:val="5AB14027"/>
    <w:rsid w:val="5ABF660B"/>
    <w:rsid w:val="5AC1307C"/>
    <w:rsid w:val="5AC4483B"/>
    <w:rsid w:val="5AD03719"/>
    <w:rsid w:val="5AE60FAA"/>
    <w:rsid w:val="5AEA40F8"/>
    <w:rsid w:val="5AF20100"/>
    <w:rsid w:val="5AF32146"/>
    <w:rsid w:val="5AFD38EB"/>
    <w:rsid w:val="5B14062C"/>
    <w:rsid w:val="5B172CF3"/>
    <w:rsid w:val="5B202BE6"/>
    <w:rsid w:val="5B311977"/>
    <w:rsid w:val="5B41694B"/>
    <w:rsid w:val="5B43104D"/>
    <w:rsid w:val="5B602F3D"/>
    <w:rsid w:val="5B6E3121"/>
    <w:rsid w:val="5B723A90"/>
    <w:rsid w:val="5B8A7D1C"/>
    <w:rsid w:val="5B8E75FD"/>
    <w:rsid w:val="5BA72E7F"/>
    <w:rsid w:val="5BB41288"/>
    <w:rsid w:val="5BBA156F"/>
    <w:rsid w:val="5BC677E4"/>
    <w:rsid w:val="5BCA4197"/>
    <w:rsid w:val="5BD3638E"/>
    <w:rsid w:val="5BE45620"/>
    <w:rsid w:val="5BFF595D"/>
    <w:rsid w:val="5C0A2B28"/>
    <w:rsid w:val="5C436D8B"/>
    <w:rsid w:val="5C45428A"/>
    <w:rsid w:val="5C4A2E40"/>
    <w:rsid w:val="5C4B1CFA"/>
    <w:rsid w:val="5C4C2042"/>
    <w:rsid w:val="5C5F440A"/>
    <w:rsid w:val="5C667BB4"/>
    <w:rsid w:val="5C725F64"/>
    <w:rsid w:val="5C8A0430"/>
    <w:rsid w:val="5C99588E"/>
    <w:rsid w:val="5CA72F05"/>
    <w:rsid w:val="5CCB28DB"/>
    <w:rsid w:val="5CF4648D"/>
    <w:rsid w:val="5D0758D0"/>
    <w:rsid w:val="5D1D7995"/>
    <w:rsid w:val="5D1F136F"/>
    <w:rsid w:val="5D36383D"/>
    <w:rsid w:val="5D3A7558"/>
    <w:rsid w:val="5D3C612C"/>
    <w:rsid w:val="5D444CD1"/>
    <w:rsid w:val="5D551889"/>
    <w:rsid w:val="5D5C73FB"/>
    <w:rsid w:val="5D6B50DB"/>
    <w:rsid w:val="5D730015"/>
    <w:rsid w:val="5D790BF4"/>
    <w:rsid w:val="5D8445FD"/>
    <w:rsid w:val="5D863C9A"/>
    <w:rsid w:val="5D881448"/>
    <w:rsid w:val="5D8E332F"/>
    <w:rsid w:val="5D9873BD"/>
    <w:rsid w:val="5DAA56FF"/>
    <w:rsid w:val="5DBA3065"/>
    <w:rsid w:val="5DC344AA"/>
    <w:rsid w:val="5DD16167"/>
    <w:rsid w:val="5DEB1FF3"/>
    <w:rsid w:val="5DF049F5"/>
    <w:rsid w:val="5DFA57AF"/>
    <w:rsid w:val="5DFF1914"/>
    <w:rsid w:val="5E041F25"/>
    <w:rsid w:val="5E1531C9"/>
    <w:rsid w:val="5E2F61C7"/>
    <w:rsid w:val="5E335006"/>
    <w:rsid w:val="5E4657EB"/>
    <w:rsid w:val="5E4A5847"/>
    <w:rsid w:val="5EB0200C"/>
    <w:rsid w:val="5EBA70B4"/>
    <w:rsid w:val="5EDD7000"/>
    <w:rsid w:val="5EF064C5"/>
    <w:rsid w:val="5EF53014"/>
    <w:rsid w:val="5EFB3832"/>
    <w:rsid w:val="5F00015F"/>
    <w:rsid w:val="5F3F2547"/>
    <w:rsid w:val="5F4B1208"/>
    <w:rsid w:val="5F4B672D"/>
    <w:rsid w:val="5F5B2AA9"/>
    <w:rsid w:val="5F7858F9"/>
    <w:rsid w:val="5F9157F3"/>
    <w:rsid w:val="5F97678D"/>
    <w:rsid w:val="5FB24DDD"/>
    <w:rsid w:val="5FBE409D"/>
    <w:rsid w:val="5FD52E88"/>
    <w:rsid w:val="5FE26563"/>
    <w:rsid w:val="5FE93E00"/>
    <w:rsid w:val="5FEB5BAA"/>
    <w:rsid w:val="5FF07EB2"/>
    <w:rsid w:val="5FF94313"/>
    <w:rsid w:val="600F7125"/>
    <w:rsid w:val="60214BBA"/>
    <w:rsid w:val="604528B9"/>
    <w:rsid w:val="604970EB"/>
    <w:rsid w:val="60565352"/>
    <w:rsid w:val="60576098"/>
    <w:rsid w:val="608363CB"/>
    <w:rsid w:val="6089329A"/>
    <w:rsid w:val="60AF25E0"/>
    <w:rsid w:val="60B20CF1"/>
    <w:rsid w:val="60BA3AA6"/>
    <w:rsid w:val="60CC02A2"/>
    <w:rsid w:val="60CE5D47"/>
    <w:rsid w:val="60CF3B3F"/>
    <w:rsid w:val="6107238A"/>
    <w:rsid w:val="612A03C7"/>
    <w:rsid w:val="6135722A"/>
    <w:rsid w:val="6137387A"/>
    <w:rsid w:val="618C06A9"/>
    <w:rsid w:val="61A36F0F"/>
    <w:rsid w:val="61A772BF"/>
    <w:rsid w:val="61C56A3A"/>
    <w:rsid w:val="61DE5C07"/>
    <w:rsid w:val="61E57A2F"/>
    <w:rsid w:val="61EA6D8F"/>
    <w:rsid w:val="61F12AEF"/>
    <w:rsid w:val="61FD1FAE"/>
    <w:rsid w:val="61FD3C45"/>
    <w:rsid w:val="620A6316"/>
    <w:rsid w:val="621C4564"/>
    <w:rsid w:val="62374C06"/>
    <w:rsid w:val="62407AF0"/>
    <w:rsid w:val="62476E82"/>
    <w:rsid w:val="6275556F"/>
    <w:rsid w:val="627F5813"/>
    <w:rsid w:val="62910273"/>
    <w:rsid w:val="62A15B71"/>
    <w:rsid w:val="62CC5E18"/>
    <w:rsid w:val="630F48BC"/>
    <w:rsid w:val="63494774"/>
    <w:rsid w:val="6373408F"/>
    <w:rsid w:val="637E1D7F"/>
    <w:rsid w:val="63A54318"/>
    <w:rsid w:val="63AD3E2E"/>
    <w:rsid w:val="63BA4488"/>
    <w:rsid w:val="63BD77AC"/>
    <w:rsid w:val="63CD081E"/>
    <w:rsid w:val="63D7081B"/>
    <w:rsid w:val="63D831A1"/>
    <w:rsid w:val="63EF6D01"/>
    <w:rsid w:val="63F31C84"/>
    <w:rsid w:val="640734C2"/>
    <w:rsid w:val="640F20EE"/>
    <w:rsid w:val="641B4A71"/>
    <w:rsid w:val="64257F41"/>
    <w:rsid w:val="6436118A"/>
    <w:rsid w:val="64427192"/>
    <w:rsid w:val="644454EA"/>
    <w:rsid w:val="64632AA7"/>
    <w:rsid w:val="64654DD0"/>
    <w:rsid w:val="6470127C"/>
    <w:rsid w:val="64753DBA"/>
    <w:rsid w:val="64AB754B"/>
    <w:rsid w:val="64CF5BFB"/>
    <w:rsid w:val="64D63888"/>
    <w:rsid w:val="64DB06A7"/>
    <w:rsid w:val="64E8554B"/>
    <w:rsid w:val="64F515D2"/>
    <w:rsid w:val="650F5309"/>
    <w:rsid w:val="65143B35"/>
    <w:rsid w:val="651C32BD"/>
    <w:rsid w:val="6526352D"/>
    <w:rsid w:val="652E0BDA"/>
    <w:rsid w:val="65420748"/>
    <w:rsid w:val="65440D16"/>
    <w:rsid w:val="656962D4"/>
    <w:rsid w:val="65717399"/>
    <w:rsid w:val="657A11CE"/>
    <w:rsid w:val="658F5A4B"/>
    <w:rsid w:val="65B90E3F"/>
    <w:rsid w:val="65BF1A7E"/>
    <w:rsid w:val="65C30144"/>
    <w:rsid w:val="65CD2498"/>
    <w:rsid w:val="65D558EC"/>
    <w:rsid w:val="65F20046"/>
    <w:rsid w:val="65FA52A9"/>
    <w:rsid w:val="65FA66DF"/>
    <w:rsid w:val="6606515E"/>
    <w:rsid w:val="661965FD"/>
    <w:rsid w:val="66197E82"/>
    <w:rsid w:val="661B4160"/>
    <w:rsid w:val="662059CA"/>
    <w:rsid w:val="66230C10"/>
    <w:rsid w:val="662B5B25"/>
    <w:rsid w:val="662C619A"/>
    <w:rsid w:val="663A2E05"/>
    <w:rsid w:val="665B28C1"/>
    <w:rsid w:val="665F4A1F"/>
    <w:rsid w:val="6665586C"/>
    <w:rsid w:val="666972ED"/>
    <w:rsid w:val="666B4A48"/>
    <w:rsid w:val="66701D8C"/>
    <w:rsid w:val="667326D3"/>
    <w:rsid w:val="668D40E3"/>
    <w:rsid w:val="669B4A40"/>
    <w:rsid w:val="66AC711A"/>
    <w:rsid w:val="66B0603E"/>
    <w:rsid w:val="66B307C4"/>
    <w:rsid w:val="66C979C7"/>
    <w:rsid w:val="670D49E6"/>
    <w:rsid w:val="670F2D61"/>
    <w:rsid w:val="67105D36"/>
    <w:rsid w:val="67115130"/>
    <w:rsid w:val="6712234E"/>
    <w:rsid w:val="6713697B"/>
    <w:rsid w:val="67144121"/>
    <w:rsid w:val="671458F3"/>
    <w:rsid w:val="671B3EEE"/>
    <w:rsid w:val="671E148E"/>
    <w:rsid w:val="672244F7"/>
    <w:rsid w:val="674132B6"/>
    <w:rsid w:val="67553D3D"/>
    <w:rsid w:val="675C0ABD"/>
    <w:rsid w:val="67795C73"/>
    <w:rsid w:val="67A75981"/>
    <w:rsid w:val="67B03FD0"/>
    <w:rsid w:val="67B275A1"/>
    <w:rsid w:val="67CC6622"/>
    <w:rsid w:val="67DA6DB4"/>
    <w:rsid w:val="67EF6C93"/>
    <w:rsid w:val="68046A6F"/>
    <w:rsid w:val="680F6EC1"/>
    <w:rsid w:val="683037C4"/>
    <w:rsid w:val="68343793"/>
    <w:rsid w:val="68344C2E"/>
    <w:rsid w:val="687177EC"/>
    <w:rsid w:val="68862E62"/>
    <w:rsid w:val="68D67C89"/>
    <w:rsid w:val="68DC142A"/>
    <w:rsid w:val="68E206D6"/>
    <w:rsid w:val="68EF07B8"/>
    <w:rsid w:val="68EF0F99"/>
    <w:rsid w:val="68FA5877"/>
    <w:rsid w:val="690F1141"/>
    <w:rsid w:val="6921076F"/>
    <w:rsid w:val="6925458D"/>
    <w:rsid w:val="69362FD3"/>
    <w:rsid w:val="693F644E"/>
    <w:rsid w:val="697E352C"/>
    <w:rsid w:val="69856A5B"/>
    <w:rsid w:val="699E42A8"/>
    <w:rsid w:val="69A75C85"/>
    <w:rsid w:val="69B21FB9"/>
    <w:rsid w:val="69B753D8"/>
    <w:rsid w:val="69C54688"/>
    <w:rsid w:val="69C760EF"/>
    <w:rsid w:val="69C83522"/>
    <w:rsid w:val="69CB719C"/>
    <w:rsid w:val="69D43720"/>
    <w:rsid w:val="6A065B6D"/>
    <w:rsid w:val="6A0A2488"/>
    <w:rsid w:val="6A1A5852"/>
    <w:rsid w:val="6A3071A3"/>
    <w:rsid w:val="6A3B3947"/>
    <w:rsid w:val="6A5377CE"/>
    <w:rsid w:val="6A7F63D2"/>
    <w:rsid w:val="6A802799"/>
    <w:rsid w:val="6A825A57"/>
    <w:rsid w:val="6A95643A"/>
    <w:rsid w:val="6AA33341"/>
    <w:rsid w:val="6AA9223D"/>
    <w:rsid w:val="6AB757D7"/>
    <w:rsid w:val="6ACD2F3E"/>
    <w:rsid w:val="6AD36E0E"/>
    <w:rsid w:val="6AE37941"/>
    <w:rsid w:val="6AE62EB0"/>
    <w:rsid w:val="6AF300AB"/>
    <w:rsid w:val="6B006BA9"/>
    <w:rsid w:val="6B10040A"/>
    <w:rsid w:val="6B35429E"/>
    <w:rsid w:val="6B3D78B3"/>
    <w:rsid w:val="6B411438"/>
    <w:rsid w:val="6B5B1E04"/>
    <w:rsid w:val="6B686694"/>
    <w:rsid w:val="6B7934F3"/>
    <w:rsid w:val="6BA018C9"/>
    <w:rsid w:val="6BAC52C0"/>
    <w:rsid w:val="6BC61BD2"/>
    <w:rsid w:val="6BDB21B6"/>
    <w:rsid w:val="6BE761AF"/>
    <w:rsid w:val="6BEA52F6"/>
    <w:rsid w:val="6BFA6398"/>
    <w:rsid w:val="6C195D77"/>
    <w:rsid w:val="6C1A59A4"/>
    <w:rsid w:val="6C29778F"/>
    <w:rsid w:val="6C340945"/>
    <w:rsid w:val="6C3617DA"/>
    <w:rsid w:val="6C4D4B5E"/>
    <w:rsid w:val="6C644EFE"/>
    <w:rsid w:val="6C6B3E84"/>
    <w:rsid w:val="6C7235FF"/>
    <w:rsid w:val="6C733D69"/>
    <w:rsid w:val="6C9E0441"/>
    <w:rsid w:val="6CA64946"/>
    <w:rsid w:val="6CAB24B7"/>
    <w:rsid w:val="6CAC39A1"/>
    <w:rsid w:val="6CD83BBF"/>
    <w:rsid w:val="6CD95A7D"/>
    <w:rsid w:val="6CEC0BF2"/>
    <w:rsid w:val="6CEF68DB"/>
    <w:rsid w:val="6CF26DCF"/>
    <w:rsid w:val="6D26395F"/>
    <w:rsid w:val="6D38698B"/>
    <w:rsid w:val="6D4201EB"/>
    <w:rsid w:val="6D4C6A8A"/>
    <w:rsid w:val="6D5345B3"/>
    <w:rsid w:val="6D613880"/>
    <w:rsid w:val="6D7016D1"/>
    <w:rsid w:val="6D731E90"/>
    <w:rsid w:val="6D7470C0"/>
    <w:rsid w:val="6D800E16"/>
    <w:rsid w:val="6D8A7375"/>
    <w:rsid w:val="6D9C4D62"/>
    <w:rsid w:val="6DA42EC6"/>
    <w:rsid w:val="6DA566EC"/>
    <w:rsid w:val="6DAD23EC"/>
    <w:rsid w:val="6DEF1882"/>
    <w:rsid w:val="6DF3617B"/>
    <w:rsid w:val="6E084A9B"/>
    <w:rsid w:val="6E5E1DBA"/>
    <w:rsid w:val="6E8747D4"/>
    <w:rsid w:val="6EA77CD8"/>
    <w:rsid w:val="6EBA581B"/>
    <w:rsid w:val="6EC95FF9"/>
    <w:rsid w:val="6EE25E05"/>
    <w:rsid w:val="6EEA1461"/>
    <w:rsid w:val="6F0F787E"/>
    <w:rsid w:val="6F1245C0"/>
    <w:rsid w:val="6F220E0D"/>
    <w:rsid w:val="6F236254"/>
    <w:rsid w:val="6F393A20"/>
    <w:rsid w:val="6F451B94"/>
    <w:rsid w:val="6F462C35"/>
    <w:rsid w:val="6F4735EF"/>
    <w:rsid w:val="6F5979D7"/>
    <w:rsid w:val="6F624D79"/>
    <w:rsid w:val="6F8A5CA2"/>
    <w:rsid w:val="6F8B50A5"/>
    <w:rsid w:val="6FAF2093"/>
    <w:rsid w:val="6FD42CB7"/>
    <w:rsid w:val="6FDA254A"/>
    <w:rsid w:val="6FE04371"/>
    <w:rsid w:val="70025E60"/>
    <w:rsid w:val="702951FD"/>
    <w:rsid w:val="70411AD0"/>
    <w:rsid w:val="70556F54"/>
    <w:rsid w:val="705843C0"/>
    <w:rsid w:val="705E7E0C"/>
    <w:rsid w:val="706F0100"/>
    <w:rsid w:val="70891EF6"/>
    <w:rsid w:val="709C341E"/>
    <w:rsid w:val="70AC4B56"/>
    <w:rsid w:val="70B817A5"/>
    <w:rsid w:val="70BC1117"/>
    <w:rsid w:val="70CC1104"/>
    <w:rsid w:val="70D4248D"/>
    <w:rsid w:val="70DB601C"/>
    <w:rsid w:val="70DD191B"/>
    <w:rsid w:val="70E1500C"/>
    <w:rsid w:val="70EA3CFE"/>
    <w:rsid w:val="70F15F15"/>
    <w:rsid w:val="71371499"/>
    <w:rsid w:val="713B622A"/>
    <w:rsid w:val="713C66FC"/>
    <w:rsid w:val="714D063D"/>
    <w:rsid w:val="715F58BD"/>
    <w:rsid w:val="71731C06"/>
    <w:rsid w:val="717366AD"/>
    <w:rsid w:val="71754026"/>
    <w:rsid w:val="71844FDB"/>
    <w:rsid w:val="71A378E8"/>
    <w:rsid w:val="71A91730"/>
    <w:rsid w:val="71BE1C0F"/>
    <w:rsid w:val="71C05796"/>
    <w:rsid w:val="71CA2611"/>
    <w:rsid w:val="71CB1BE9"/>
    <w:rsid w:val="71D304AA"/>
    <w:rsid w:val="71D45BE1"/>
    <w:rsid w:val="71D70A64"/>
    <w:rsid w:val="71E603F1"/>
    <w:rsid w:val="71E70B88"/>
    <w:rsid w:val="71EB5A93"/>
    <w:rsid w:val="71F12118"/>
    <w:rsid w:val="71F367D3"/>
    <w:rsid w:val="71F62447"/>
    <w:rsid w:val="71F66F14"/>
    <w:rsid w:val="720037B6"/>
    <w:rsid w:val="720631CA"/>
    <w:rsid w:val="720F4A33"/>
    <w:rsid w:val="721123C6"/>
    <w:rsid w:val="72171434"/>
    <w:rsid w:val="722F5510"/>
    <w:rsid w:val="723A2CCC"/>
    <w:rsid w:val="7245038C"/>
    <w:rsid w:val="725D00B8"/>
    <w:rsid w:val="725F1763"/>
    <w:rsid w:val="72622674"/>
    <w:rsid w:val="72743F09"/>
    <w:rsid w:val="7294088F"/>
    <w:rsid w:val="72992877"/>
    <w:rsid w:val="72A86D88"/>
    <w:rsid w:val="72AE2D18"/>
    <w:rsid w:val="72B317E4"/>
    <w:rsid w:val="72B456CD"/>
    <w:rsid w:val="72B94EA4"/>
    <w:rsid w:val="72C27651"/>
    <w:rsid w:val="72FE7BB2"/>
    <w:rsid w:val="7309560E"/>
    <w:rsid w:val="732453EA"/>
    <w:rsid w:val="732C0573"/>
    <w:rsid w:val="734860A0"/>
    <w:rsid w:val="73621492"/>
    <w:rsid w:val="7373444E"/>
    <w:rsid w:val="73980E03"/>
    <w:rsid w:val="73984AF1"/>
    <w:rsid w:val="739A576E"/>
    <w:rsid w:val="73B25448"/>
    <w:rsid w:val="73C24BF9"/>
    <w:rsid w:val="73D87E27"/>
    <w:rsid w:val="73E946DD"/>
    <w:rsid w:val="73ED3B69"/>
    <w:rsid w:val="73F07812"/>
    <w:rsid w:val="741E3253"/>
    <w:rsid w:val="74312A56"/>
    <w:rsid w:val="743A6E90"/>
    <w:rsid w:val="74403F77"/>
    <w:rsid w:val="745760EF"/>
    <w:rsid w:val="745D48F1"/>
    <w:rsid w:val="7462208A"/>
    <w:rsid w:val="74652942"/>
    <w:rsid w:val="74707281"/>
    <w:rsid w:val="74712E11"/>
    <w:rsid w:val="74783B83"/>
    <w:rsid w:val="749C467F"/>
    <w:rsid w:val="749D0DFA"/>
    <w:rsid w:val="74A27B49"/>
    <w:rsid w:val="74A4669F"/>
    <w:rsid w:val="74B1182D"/>
    <w:rsid w:val="74B86725"/>
    <w:rsid w:val="74CC7C45"/>
    <w:rsid w:val="74E439BD"/>
    <w:rsid w:val="74E874F4"/>
    <w:rsid w:val="74F914FE"/>
    <w:rsid w:val="74FA24F9"/>
    <w:rsid w:val="74FE07E1"/>
    <w:rsid w:val="74FE4EE9"/>
    <w:rsid w:val="751D2A18"/>
    <w:rsid w:val="7523385E"/>
    <w:rsid w:val="75235B72"/>
    <w:rsid w:val="7527459C"/>
    <w:rsid w:val="753538F4"/>
    <w:rsid w:val="753C2C68"/>
    <w:rsid w:val="75451A6C"/>
    <w:rsid w:val="754A2EAF"/>
    <w:rsid w:val="755B7F82"/>
    <w:rsid w:val="75613726"/>
    <w:rsid w:val="75725F00"/>
    <w:rsid w:val="7587746E"/>
    <w:rsid w:val="75961197"/>
    <w:rsid w:val="75A14506"/>
    <w:rsid w:val="75B16452"/>
    <w:rsid w:val="75B41A70"/>
    <w:rsid w:val="75BE1D33"/>
    <w:rsid w:val="75C0149D"/>
    <w:rsid w:val="75D149CA"/>
    <w:rsid w:val="75E45166"/>
    <w:rsid w:val="75E903AB"/>
    <w:rsid w:val="75FF03A9"/>
    <w:rsid w:val="760127DB"/>
    <w:rsid w:val="760158F2"/>
    <w:rsid w:val="76174A0F"/>
    <w:rsid w:val="761D2B85"/>
    <w:rsid w:val="76221345"/>
    <w:rsid w:val="76360EA9"/>
    <w:rsid w:val="76486751"/>
    <w:rsid w:val="766A2B13"/>
    <w:rsid w:val="766D2B08"/>
    <w:rsid w:val="767558DE"/>
    <w:rsid w:val="768926AB"/>
    <w:rsid w:val="76C60686"/>
    <w:rsid w:val="76E17858"/>
    <w:rsid w:val="76EA6C9B"/>
    <w:rsid w:val="76F5564B"/>
    <w:rsid w:val="771633B4"/>
    <w:rsid w:val="771E4670"/>
    <w:rsid w:val="772A6543"/>
    <w:rsid w:val="7734505B"/>
    <w:rsid w:val="777632AC"/>
    <w:rsid w:val="777967E1"/>
    <w:rsid w:val="77843B5F"/>
    <w:rsid w:val="7788081A"/>
    <w:rsid w:val="77885FBE"/>
    <w:rsid w:val="778B00FF"/>
    <w:rsid w:val="779E45D5"/>
    <w:rsid w:val="77A31A7F"/>
    <w:rsid w:val="77C125D2"/>
    <w:rsid w:val="77C35026"/>
    <w:rsid w:val="77D900C0"/>
    <w:rsid w:val="77DA260E"/>
    <w:rsid w:val="77DA78A2"/>
    <w:rsid w:val="77DD762B"/>
    <w:rsid w:val="781C298F"/>
    <w:rsid w:val="78385733"/>
    <w:rsid w:val="785B4142"/>
    <w:rsid w:val="7861231D"/>
    <w:rsid w:val="7870530E"/>
    <w:rsid w:val="787224CA"/>
    <w:rsid w:val="787B1FB0"/>
    <w:rsid w:val="78871FB1"/>
    <w:rsid w:val="788E04E2"/>
    <w:rsid w:val="78C33329"/>
    <w:rsid w:val="78D21039"/>
    <w:rsid w:val="78F665FF"/>
    <w:rsid w:val="79004E99"/>
    <w:rsid w:val="791371BB"/>
    <w:rsid w:val="791A18AC"/>
    <w:rsid w:val="792006EB"/>
    <w:rsid w:val="79260B0F"/>
    <w:rsid w:val="792B7B59"/>
    <w:rsid w:val="793F4450"/>
    <w:rsid w:val="7992199E"/>
    <w:rsid w:val="79AA4A8D"/>
    <w:rsid w:val="79B75E6C"/>
    <w:rsid w:val="79E04B39"/>
    <w:rsid w:val="7A036606"/>
    <w:rsid w:val="7A0F5521"/>
    <w:rsid w:val="7A1704D7"/>
    <w:rsid w:val="7A27732A"/>
    <w:rsid w:val="7A357616"/>
    <w:rsid w:val="7A5C5A93"/>
    <w:rsid w:val="7A5C7607"/>
    <w:rsid w:val="7A6944B7"/>
    <w:rsid w:val="7A8735CC"/>
    <w:rsid w:val="7A9A3B0E"/>
    <w:rsid w:val="7AAB0A21"/>
    <w:rsid w:val="7AD400C6"/>
    <w:rsid w:val="7AE5689B"/>
    <w:rsid w:val="7AF16E13"/>
    <w:rsid w:val="7AF324F6"/>
    <w:rsid w:val="7B19778E"/>
    <w:rsid w:val="7B1F3DF0"/>
    <w:rsid w:val="7B2D15A7"/>
    <w:rsid w:val="7B3757E9"/>
    <w:rsid w:val="7B41540A"/>
    <w:rsid w:val="7B496EA8"/>
    <w:rsid w:val="7B57293E"/>
    <w:rsid w:val="7B6C7CC7"/>
    <w:rsid w:val="7B724855"/>
    <w:rsid w:val="7B8F4AF4"/>
    <w:rsid w:val="7BA7088C"/>
    <w:rsid w:val="7BAA37E4"/>
    <w:rsid w:val="7BD2712D"/>
    <w:rsid w:val="7BDF13FF"/>
    <w:rsid w:val="7BEF2C07"/>
    <w:rsid w:val="7C0C077A"/>
    <w:rsid w:val="7C1B0FB2"/>
    <w:rsid w:val="7C24662A"/>
    <w:rsid w:val="7C6454C8"/>
    <w:rsid w:val="7C651B7C"/>
    <w:rsid w:val="7C6D630D"/>
    <w:rsid w:val="7C734E53"/>
    <w:rsid w:val="7C77388F"/>
    <w:rsid w:val="7C7D14CF"/>
    <w:rsid w:val="7CA429DD"/>
    <w:rsid w:val="7CB56186"/>
    <w:rsid w:val="7CC21E86"/>
    <w:rsid w:val="7CD331FC"/>
    <w:rsid w:val="7CD35D18"/>
    <w:rsid w:val="7CD754CA"/>
    <w:rsid w:val="7CDA4E3A"/>
    <w:rsid w:val="7CE333B2"/>
    <w:rsid w:val="7D004634"/>
    <w:rsid w:val="7D047EEE"/>
    <w:rsid w:val="7D0F5C5D"/>
    <w:rsid w:val="7D296333"/>
    <w:rsid w:val="7D2F218B"/>
    <w:rsid w:val="7D4C4256"/>
    <w:rsid w:val="7D7D649A"/>
    <w:rsid w:val="7D846E0F"/>
    <w:rsid w:val="7D93275B"/>
    <w:rsid w:val="7DAB13E6"/>
    <w:rsid w:val="7DB51BD3"/>
    <w:rsid w:val="7DC664C7"/>
    <w:rsid w:val="7DCA5ECB"/>
    <w:rsid w:val="7DD24EFE"/>
    <w:rsid w:val="7DDF7A10"/>
    <w:rsid w:val="7DE41272"/>
    <w:rsid w:val="7DEF241B"/>
    <w:rsid w:val="7DF07F33"/>
    <w:rsid w:val="7E021B95"/>
    <w:rsid w:val="7E09450F"/>
    <w:rsid w:val="7E0E6542"/>
    <w:rsid w:val="7E125C76"/>
    <w:rsid w:val="7E13299E"/>
    <w:rsid w:val="7E1E5FD6"/>
    <w:rsid w:val="7E246458"/>
    <w:rsid w:val="7E63402F"/>
    <w:rsid w:val="7E7226E3"/>
    <w:rsid w:val="7E736526"/>
    <w:rsid w:val="7E7932C6"/>
    <w:rsid w:val="7E8E37D2"/>
    <w:rsid w:val="7E995231"/>
    <w:rsid w:val="7E9D122A"/>
    <w:rsid w:val="7EA3317E"/>
    <w:rsid w:val="7EBF476B"/>
    <w:rsid w:val="7EC528C5"/>
    <w:rsid w:val="7EF10C90"/>
    <w:rsid w:val="7F12414E"/>
    <w:rsid w:val="7F14669A"/>
    <w:rsid w:val="7F2E5480"/>
    <w:rsid w:val="7F3B2BA1"/>
    <w:rsid w:val="7F4806BB"/>
    <w:rsid w:val="7F5173BD"/>
    <w:rsid w:val="7F667A3D"/>
    <w:rsid w:val="7F8A4C29"/>
    <w:rsid w:val="7F933249"/>
    <w:rsid w:val="7F9C5873"/>
    <w:rsid w:val="7F9D36AC"/>
    <w:rsid w:val="7FAA4D4F"/>
    <w:rsid w:val="7FAF3256"/>
    <w:rsid w:val="7FB71981"/>
    <w:rsid w:val="7FE00C4C"/>
    <w:rsid w:val="7FFC27F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宋体" w:hAnsi="宋体" w:eastAsia="宋体" w:cs="宋体"/>
      <w:sz w:val="24"/>
      <w:szCs w:val="24"/>
      <w:lang w:val="en-US" w:eastAsia="zh-CN" w:bidi="ar-SA"/>
    </w:rPr>
  </w:style>
  <w:style w:type="character" w:default="1" w:styleId="5">
    <w:name w:val="Default Paragraph Font"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Hyperlink"/>
    <w:basedOn w:val="5"/>
    <w:qFormat/>
    <w:uiPriority w:val="0"/>
    <w:rPr>
      <w:color w:val="0000FF"/>
      <w:u w:val="single"/>
    </w:rPr>
  </w:style>
  <w:style w:type="paragraph" w:customStyle="1" w:styleId="7">
    <w:name w:val="Normal (Web)"/>
    <w:basedOn w:val="1"/>
    <w:qFormat/>
    <w:uiPriority w:val="0"/>
  </w:style>
  <w:style w:type="paragraph" w:customStyle="1" w:styleId="8">
    <w:name w:val="批注框文本1"/>
    <w:basedOn w:val="1"/>
    <w:qFormat/>
    <w:uiPriority w:val="0"/>
    <w:rPr>
      <w:sz w:val="18"/>
      <w:szCs w:val="18"/>
    </w:rPr>
  </w:style>
  <w:style w:type="paragraph" w:customStyle="1" w:styleId="9">
    <w:name w:val="Document Map"/>
    <w:basedOn w:val="1"/>
    <w:qFormat/>
    <w:uiPriority w:val="0"/>
    <w:pPr>
      <w:shd w:val="clear" w:color="auto" w:fill="000080"/>
    </w:pPr>
  </w:style>
  <w:style w:type="paragraph" w:customStyle="1" w:styleId="10">
    <w:name w:val="toa heading"/>
    <w:basedOn w:val="1"/>
    <w:next w:val="1"/>
    <w:qFormat/>
    <w:uiPriority w:val="0"/>
    <w:rPr>
      <w:rFonts w:ascii="Arial" w:hAnsi="Arial"/>
      <w:sz w:val="36"/>
    </w:rPr>
  </w:style>
  <w:style w:type="paragraph" w:customStyle="1" w:styleId="11">
    <w:name w:val="Date"/>
    <w:basedOn w:val="1"/>
    <w:next w:val="1"/>
    <w:qFormat/>
    <w:uiPriority w:val="0"/>
    <w:pPr>
      <w:ind w:left="100" w:leftChars="2500"/>
    </w:pPr>
  </w:style>
  <w:style w:type="paragraph" w:customStyle="1" w:styleId="12">
    <w:name w:val="p0"/>
    <w:basedOn w:val="1"/>
    <w:qFormat/>
    <w:uiPriority w:val="0"/>
    <w:pPr>
      <w:jc w:val="both"/>
    </w:pPr>
    <w:rPr>
      <w:rFonts w:ascii="Times New Roman" w:hAnsi="Times New Roman" w:cs="Times New Roman"/>
      <w:sz w:val="21"/>
      <w:szCs w:val="21"/>
    </w:rPr>
  </w:style>
  <w:style w:type="paragraph" w:customStyle="1" w:styleId="13">
    <w:name w:val="默认段落字体 Para Char Char Char Char Char Char Char"/>
    <w:basedOn w:val="1"/>
    <w:qFormat/>
    <w:uiPriority w:val="0"/>
    <w:pPr>
      <w:widowControl w:val="0"/>
      <w:jc w:val="both"/>
    </w:pPr>
  </w:style>
  <w:style w:type="paragraph" w:customStyle="1" w:styleId="14">
    <w:name w:val="Table Paragraph"/>
    <w:basedOn w:val="1"/>
    <w:qFormat/>
    <w:uiPriority w:val="0"/>
    <w:rPr>
      <w:rFonts w:hint="eastAsia"/>
    </w:rPr>
  </w:style>
  <w:style w:type="character" w:customStyle="1" w:styleId="15">
    <w:name w:val="page number"/>
    <w:basedOn w:val="5"/>
    <w:qFormat/>
    <w:uiPriority w:val="0"/>
  </w:style>
  <w:style w:type="character" w:customStyle="1" w:styleId="16">
    <w:name w:val="font81"/>
    <w:basedOn w:val="5"/>
    <w:qFormat/>
    <w:uiPriority w:val="0"/>
    <w:rPr>
      <w:rFonts w:hint="eastAsia" w:ascii="宋体" w:hAnsi="宋体" w:eastAsia="宋体" w:cs="宋体"/>
      <w:b/>
      <w:bCs/>
      <w:color w:val="000000"/>
      <w:sz w:val="28"/>
      <w:szCs w:val="28"/>
      <w:u w:val="none"/>
    </w:rPr>
  </w:style>
  <w:style w:type="character" w:customStyle="1" w:styleId="17">
    <w:name w:val="font91"/>
    <w:basedOn w:val="5"/>
    <w:qFormat/>
    <w:uiPriority w:val="0"/>
    <w:rPr>
      <w:rFonts w:hint="eastAsia" w:ascii="宋体" w:hAnsi="宋体" w:eastAsia="宋体" w:cs="宋体"/>
      <w:b/>
      <w:bCs/>
      <w:color w:val="000000"/>
      <w:sz w:val="24"/>
      <w:szCs w:val="24"/>
      <w:u w:val="none"/>
    </w:rPr>
  </w:style>
  <w:style w:type="character" w:customStyle="1" w:styleId="18">
    <w:name w:val="font21"/>
    <w:basedOn w:val="5"/>
    <w:qFormat/>
    <w:uiPriority w:val="0"/>
    <w:rPr>
      <w:rFonts w:hint="eastAsia" w:ascii="宋体" w:hAnsi="宋体" w:eastAsia="宋体" w:cs="宋体"/>
      <w:b/>
      <w:bCs/>
      <w:color w:val="000000"/>
      <w:sz w:val="36"/>
      <w:szCs w:val="36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theme" Target="theme/theme1.xml"/><Relationship Id="rId7" Type="http://schemas.openxmlformats.org/officeDocument/2006/relationships/footer" Target="footer3.xml"/><Relationship Id="rId6" Type="http://schemas.openxmlformats.org/officeDocument/2006/relationships/header" Target="header2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</customSectProps>
  <customShpExts>
    <customShpInfo spid="_x0000_s4097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芳向电脑工作室</Company>
  <Pages>13</Pages>
  <Words>4194</Words>
  <Characters>5556</Characters>
  <Lines>44</Lines>
  <Paragraphs>12</Paragraphs>
  <TotalTime>102</TotalTime>
  <ScaleCrop>false</ScaleCrop>
  <LinksUpToDate>false</LinksUpToDate>
  <CharactersWithSpaces>0</CharactersWithSpaces>
  <Application>WPS Office_11.1.0.10578_F1E327BC-269C-435d-A152-05C5408002CA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2022-10-30T19:08:00Z</dcterms:created>
  <dc:creator>张芳向 Netboy</dc:creator>
  <cp:lastModifiedBy>lenovo</cp:lastModifiedBy>
  <cp:lastPrinted>2026-01-08T06:03:00Z</cp:lastPrinted>
  <dcterms:modified xsi:type="dcterms:W3CDTF">2026-01-09T02:49:03Z</dcterms:modified>
  <dc:title>lenovo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2052-11.1.0.10578</vt:lpwstr>
  </property>
  <property fmtid="{D5CDD505-2E9C-101B-9397-08002B2CF9AE}" pid="3" name="ICV">
    <vt:lpwstr>BEDF03F7820C4449810B0724C38E86D5</vt:lpwstr>
  </property>
</Properties>
</file>