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附件3：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元氏县市场监督管理局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2024年度整体支出绩效自评报告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贯彻落实县委县政府《关于全面落实预算绩效管理的实施意见》（元发﹝2019﹞7号）文件精神，遵循“科学性、规范性、客观性和公正性”的原则，对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市场监管</w:t>
      </w:r>
      <w:r>
        <w:rPr>
          <w:rFonts w:hint="eastAsia" w:ascii="仿宋" w:hAnsi="仿宋" w:eastAsia="仿宋"/>
          <w:sz w:val="32"/>
          <w:szCs w:val="32"/>
        </w:rPr>
        <w:t>部门2024年整体支出情况实施了财政支出绩效自评价，形成本评价报告。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pStyle w:val="6"/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负责全县市场综合监督管理，认真执行省市有关政策、标准，组织实施质量强县战略、食品安全战略、标准化战略、知识产权战略，负责并组织实施有关规划，规范和维护市场秩序，营造诚实守信、公平竞争的市场环境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（二）负责市场主体信用建设，建立市场主体信息公示，推动市场主体信用体系建设。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（三）负责组织和指导全县市场监管综合执法工作。负责全县市场监管综合执法队伍整合和建设，推动实行统一的市场监管。组织查处重大违法案件。规范市场监管行政执法行为。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负责监督管理市场秩序。依法监督管理全县市场交易、网络商品交易及有关服务的行为。组织指导查处价格收费违法违规、不正当竞争、违法直销、传销、侵犯商标专利知识产权和制售假冒伪劣行为。负责全县广告业发展，监督管理广告活动。开展查处无照生产经营和相关无证生产经营行为。负责消费维权中心开展消费维权工作。根据省市局授权和指导，组织开展垄断协议、滥用市场支配地位和滥用行政权力排除、限制竞争等反垄断执法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负责全县宏观质量管理。负责并实施全县质量发展的制度措施。统筹全县质量基础设施建设与应用，会同有关部门组织实施重大工程设备质量监理制度，组织重大质量事故调查，组织实施缺陷产品召回制度，监督管理产品防伪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（六）负责全县产品质量安全监督管理。承担县级产品质量安全风险监控、监督抽查工作。组织实施质量分级制度、质量安全追溯制度。负责纤维质量监督工作。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（七）负责全县特种设备安全监督管理。综合管理特种设备安全监察、监督工作，监督检查高耗能特种设备节能标准和锅炉环境保护标准的执行情况。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负责食品安全监督管理综合协调。组织制定全县食品安全重大政策并组织实施。推动健全食品安全地方党政同责和跨部门协调联动机制。负责食品安全应急体系建设，组织指导全县较大食品安全事件应急处置和调查处理工作，建立健全食品安全信息统一公布和重要信息直报制度。承担元氏县食品安全委员会日常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负责食品安全监督管理。建立覆盖食品生产、流通、消费全过程的监督检查制度和隐患排查治理机制并组织实施。推动建立食品生产经营者落实主体责任的机制，健全食品安全追溯体系。参与食品安全风险监测，组织开展食品安全监督抽检、核查处置和风险预警、风险交流工作。按职责分工组织实施特殊食品监督管理。组织指导重大活动食品安全保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（十）负责管理全县计量工作。推行法定计量单位和国家计量制度，管理计量器具及量值传递和比对工作。规范、监督商品量和市场计量行为。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（十一）负责管理全县标准化工作。宣传贯彻强制性、推荐性国家标准和行业标准、地方标准。依法协调指导和监督团体标准、企业标准制定工作。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（十二）负责管理全县检验检测工作。推进检验检测机构改革，规范检验检测市场，完善检验检测体系，指导协调检验检测行业发展。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（十三）负责管理、监督和协调全县认证认可工作。组织贯彻实施国家统一的认证认可和合格评定监督管理制度。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（十四）负责推进全县知识产权管理工作。负责加强知识产权强县建设和发展规划。实施强化知识产权创造、保护和运用的政策和制度。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五）负责保护知识产权。严格保护商标、专利、原产地地理标志、集成电路布图设计等知识产权并依法监管。按照省市知识产权保护体系建设方案，推动建设知识产权保护体系。负责指导商标、专利执法工作，负责知识产权争议处理、维权援助和纠纷调处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（十六）负责促进知识产权运用。促进知识产权转移转化。规范知识产权无形资产评估工作。实施知识产权中介服务发展与监管的政策措施。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（十七）负责建立知识产权公共服务体系。建设便企利民、互联互通的全县知识产权信息公共服务平台，推动商标、专利等知识产权信息的传播利用。指导全县专利信息服务工作。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（十八）承担省市知识产权局知识产权代办工作任务。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（十九）负责全县市场监督管理科技和信息化建设、新闻宣传、对外交流与合作。按规定承担技术性贸易措施有关工作。负责协调涉外知识产权事宜，承担知识产权对外转让初步审查工作。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）负责药品（含中药、民族药，下同）、医疗器械和化妆品安全监督管理。贯彻执行国家、省、市药品、医疗器械和化妆品法律法规，以及鼓励药品、医疗器械和化妆品新技术新产品的管理与服务政策。负责全县监督管理政策的组织实施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（二十一）负责药品、医疗器械和化妆品质量管理。依职责监督实施药品、医疗器械经营质量管理规范。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（二十二）组织开展药品、化妆品不良反应监测、医疗器械不良事件监测、药物滥用监测工作。依法承担药品、医疗器械和化妆品安全应急管理工作。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（二十三）负责药品、医疗器械和化妆品监督检查。贯彻落实国家、省检查制度，依法查处药品、医疗器械和化妆品经营、使用环节的违法行为。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（二十四）组织开展药品、医疗器械和化妆品安全宣传、教育培训。推进诚信体系建设。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（二十五）负责县药品监督管理工作。推动落实药品、医疗器械和化妆品安全企业主体责任。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十六）推进全县药品、医疗器械和化妆品安全监管信息化建设。负责实施县局药品、医疗器械和化妆品的安全科技发展规划并组织实施，推动检验检测体系、电子监管追溯体系和信息化建设。完善全县药品、医疗器械和化妆品安全信息统一公布制度和重大信息直报制度。</w:t>
      </w:r>
    </w:p>
    <w:p>
      <w:pPr>
        <w:ind w:firstLine="640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>
      <w:pPr>
        <w:ind w:firstLine="640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>
      <w:pPr>
        <w:ind w:firstLine="640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>
      <w:pPr>
        <w:ind w:firstLine="640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>
      <w:pPr>
        <w:ind w:firstLine="640"/>
        <w:rPr>
          <w:rFonts w:hint="eastAsia"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机构设置：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部门机构设置情况</w:t>
      </w:r>
    </w:p>
    <w:tbl>
      <w:tblPr>
        <w:tblStyle w:val="4"/>
        <w:tblpPr w:leftFromText="180" w:rightFromText="180" w:vertAnchor="text" w:horzAnchor="page" w:tblpX="1451" w:tblpY="960"/>
        <w:tblOverlap w:val="never"/>
        <w:tblW w:w="960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43"/>
        <w:gridCol w:w="1157"/>
        <w:gridCol w:w="1908"/>
        <w:gridCol w:w="249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tblHeader/>
        </w:trPr>
        <w:tc>
          <w:tcPr>
            <w:tcW w:w="4043" w:type="dxa"/>
            <w:noWrap w:val="0"/>
            <w:vAlign w:val="center"/>
          </w:tcPr>
          <w:p>
            <w:pPr>
              <w:pStyle w:val="7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单位名称</w:t>
            </w:r>
          </w:p>
        </w:tc>
        <w:tc>
          <w:tcPr>
            <w:tcW w:w="1157" w:type="dxa"/>
            <w:noWrap w:val="0"/>
            <w:vAlign w:val="center"/>
          </w:tcPr>
          <w:p>
            <w:pPr>
              <w:pStyle w:val="7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单位性质</w:t>
            </w:r>
          </w:p>
        </w:tc>
        <w:tc>
          <w:tcPr>
            <w:tcW w:w="1908" w:type="dxa"/>
            <w:noWrap w:val="0"/>
            <w:vAlign w:val="center"/>
          </w:tcPr>
          <w:p>
            <w:pPr>
              <w:pStyle w:val="7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单位规格</w:t>
            </w:r>
          </w:p>
        </w:tc>
        <w:tc>
          <w:tcPr>
            <w:tcW w:w="2492" w:type="dxa"/>
            <w:noWrap w:val="0"/>
            <w:vAlign w:val="center"/>
          </w:tcPr>
          <w:p>
            <w:pPr>
              <w:pStyle w:val="7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4043" w:type="dxa"/>
            <w:noWrap w:val="0"/>
            <w:vAlign w:val="center"/>
          </w:tcPr>
          <w:p>
            <w:pPr>
              <w:pStyle w:val="8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元氏县市场监督管理局本级</w:t>
            </w:r>
          </w:p>
        </w:tc>
        <w:tc>
          <w:tcPr>
            <w:tcW w:w="1157" w:type="dxa"/>
            <w:noWrap w:val="0"/>
            <w:vAlign w:val="center"/>
          </w:tcPr>
          <w:p>
            <w:pPr>
              <w:pStyle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行政</w:t>
            </w:r>
          </w:p>
        </w:tc>
        <w:tc>
          <w:tcPr>
            <w:tcW w:w="1908" w:type="dxa"/>
            <w:noWrap w:val="0"/>
            <w:vAlign w:val="center"/>
          </w:tcPr>
          <w:p>
            <w:pPr>
              <w:pStyle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正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科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级</w:t>
            </w:r>
          </w:p>
        </w:tc>
        <w:tc>
          <w:tcPr>
            <w:tcW w:w="2492" w:type="dxa"/>
            <w:noWrap w:val="0"/>
            <w:vAlign w:val="center"/>
          </w:tcPr>
          <w:p>
            <w:pPr>
              <w:pStyle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4043" w:type="dxa"/>
            <w:noWrap w:val="0"/>
            <w:vAlign w:val="center"/>
          </w:tcPr>
          <w:p>
            <w:pPr>
              <w:pStyle w:val="8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元氏县质量技术监督检验所</w:t>
            </w:r>
          </w:p>
        </w:tc>
        <w:tc>
          <w:tcPr>
            <w:tcW w:w="1157" w:type="dxa"/>
            <w:noWrap w:val="0"/>
            <w:vAlign w:val="center"/>
          </w:tcPr>
          <w:p>
            <w:pPr>
              <w:pStyle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事业</w:t>
            </w:r>
          </w:p>
        </w:tc>
        <w:tc>
          <w:tcPr>
            <w:tcW w:w="1908" w:type="dxa"/>
            <w:noWrap w:val="0"/>
            <w:vAlign w:val="center"/>
          </w:tcPr>
          <w:p>
            <w:pPr>
              <w:pStyle w:val="9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股级</w:t>
            </w:r>
          </w:p>
        </w:tc>
        <w:tc>
          <w:tcPr>
            <w:tcW w:w="2492" w:type="dxa"/>
            <w:noWrap w:val="0"/>
            <w:vAlign w:val="center"/>
          </w:tcPr>
          <w:p>
            <w:pPr>
              <w:pStyle w:val="9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全额保障</w:t>
            </w:r>
          </w:p>
        </w:tc>
      </w:tr>
    </w:tbl>
    <w:p>
      <w:pPr>
        <w:numPr>
          <w:ilvl w:val="0"/>
          <w:numId w:val="0"/>
        </w:numPr>
        <w:spacing w:before="10" w:after="10"/>
        <w:outlineLvl w:val="2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</w:p>
    <w:p>
      <w:pPr>
        <w:numPr>
          <w:ilvl w:val="0"/>
          <w:numId w:val="0"/>
        </w:numPr>
        <w:ind w:left="800" w:leftChars="0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我部门共计安排合计各类资金24个项目，总计预算安排856.25万元、实际拨付856.25万元。其中上级补助资金64万元，主要用于市场监管、质量监管及食品药品抽检补助。上级奖励其他企业资金，、标准化资助资金及第二、三批中央服务业发展资金（只是产权运营服务体系建设）。一般执法项目资金执法监管类经费792.25万元，主要用于日常执法监管的办公费、印刷费、委托业务费、劳务费等其他费用：其中食品抽检经费217.8万元，主要用于食品流通、生产及农副产品的抽检经费，其他项目资金574.45万元，只要是用于：打击传销、取缔无照经营、劣质散煤管控经费、“双随机、一公开”型煤质检等.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说明评价资料收集、评价过程、评价工作管理组织等情况。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pStyle w:val="10"/>
        <w:ind w:left="0" w:leftChars="0" w:firstLine="960" w:firstLine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、依法查处各类违法行为，对开展与执法办案有关的各项工作，维护公平竞争的市场秩序。全县食品、药品生产、经营企业检查覆盖率达到90%。市场监管执法案件办理完结案件数占年度市场执法案件总数90%。打假举报、质量申诉和业务咨询等打假案件结案数量占受理案件数量的95%。</w:t>
      </w:r>
    </w:p>
    <w:p>
      <w:pPr>
        <w:pStyle w:val="1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、组织全县的食品生产、流通、餐饮消费环节和保健食品的、成品油、散煤等质量抽查检验。商品抽检批次完成数占计划抽检数的90%。食品、农资、成品油抽检完成数占计划抽检数的90%。不合格样品生产企业处理率达到100%。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对县域各类企业、和从事经营活动的单位、个人以及企业机构等市场主体的监督管理，依法查处无照经营的责任，组织指导全县企业、个体工商户、商品交易市场信用分类管理。登记企业个数占企业总数（当期查处的无证企业个数与登记企业数之和为当期企业总数）的90%。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、提高全县整体质量水平，建立质量诚信制度，促进企业诚信经营，激励企业提升质量管理和产品质量，满足市场及质量技术监督检验检测需求反映抽检计量器具及设备、食品药品相关产品、特种设备覆盖面情况。特种设备定检实际完成情况占应完成情况的比例的95%。实际完成计量比对量占应完成比对量的比例95%。重点管理计量器具检定实际完成情况占应完成情况的比例95%。</w:t>
      </w:r>
    </w:p>
    <w:p>
      <w:pPr>
        <w:pStyle w:val="10"/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、组织开展市场监督管理系统人员宣传、教育工作。进行行政执法、消保维权和舆论监督，强化监管手段，组织开展食品药品监督、检查、检测、等各项综合业务工作。安全宣传教育活动完成次数与计划开展次数的比值达到90%。实际处置突发事件个数与实际发生数的比值达到90%。市场监管部门对企业开展行政指导次数不低于2次。</w:t>
      </w:r>
    </w:p>
    <w:p>
      <w:pPr>
        <w:spacing w:line="560" w:lineRule="exac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（二）分项绩效目标实现情况及指标分析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1、市场监督管理能力和水平整体增强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绩效目标：市场监管治理体系进一步完善，市场主体数量稳定增长，市场活力进一步增强，市场发展环境进一步优化，市场秩序进一步好转，食品安全风险监测预警能力稳步提升，突发食品事件应急处 置能力持续强化，监督检查特种设备能力整体增强，产品质量水平进一步提高。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绩效指标：对企业行政指导覆盖率大于90%，组织治理提食品生产企业，重大食品安全事故数为零，特种设备获证单位监督抽查企业数量不低于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 xml:space="preserve">家。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2、质量发展水平进一步提升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绩效目标：推进质量强市战略、推进品牌建设，全市质量基础设施协同服务成熟高效，市级地方标准制修订水平进一步提高，全面实施国家标准、行业标准和地方标准，对标准的实施进行监督检查。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绩效指标：获得市级政府质量奖单位数量不低于1个，组织市政府质量奖评审。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3、知识产权保护与发展水平进一步提高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绩效目标：知识产权保护体系更加完善，对商标、专利、地理标 志等执法工作稳步开展，维权援助工作有效执行，持续推动知识产权运营服务体系建设，驰名商标推荐工作持续开展，知识产权信息公共 服务体系建设更加成熟，知识产权信息传播利用不断增强。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绩效指标：培育知识产权保护专业市场数不低于1个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4、市场监督行政执法进一步增强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绩效目标：查处市场主体生产、经营、交易中的有关违法行为和 案件进一步提升，组织查办、督查督办、行政复议和协调诉讼水平进一步提高，查处垄断案件、不正当竞争行为，组织指导公平竞争审查，有效监督管理直销企业直销活动，增强打击传销力度。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绩效指标：执法案件查处率大于90%，开展各类市场监管督导检查次数大于5次，对企业行政指导工作次数大于2次。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5、市场监督政务管理能力得到提升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绩效目标：利用媒体、微信等宣传平台,提升宣传效果，用新闻报道讲好市场监管故事。对重大事件实施动态监测，有效避免负面 舆情危机。大力开展法制宣传教育，法律服务能力及法制宣传教育进 一步提升；教育、培训、市场监管文化建设进一步加强，综合保障能力进一步提高。 </w:t>
      </w:r>
    </w:p>
    <w:p>
      <w:pPr>
        <w:pStyle w:val="1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绩效指标：媒体宣传数大于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次，培训人员人次1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0人次。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（一）存在的主要问题</w:t>
      </w:r>
    </w:p>
    <w:p>
      <w:pPr>
        <w:numPr>
          <w:ilvl w:val="0"/>
          <w:numId w:val="0"/>
        </w:numPr>
        <w:snapToGrid w:val="0"/>
        <w:spacing w:line="360" w:lineRule="auto"/>
        <w:ind w:left="280" w:leftChars="0"/>
        <w:jc w:val="left"/>
        <w:rPr>
          <w:rFonts w:hint="eastAsia" w:ascii="仿宋" w:hAnsi="仿宋" w:eastAsia="仿宋" w:cs="仿宋"/>
          <w:color w:val="4E4E4E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4E4E4E"/>
          <w:sz w:val="32"/>
          <w:szCs w:val="32"/>
          <w:lang w:val="en-US" w:eastAsia="zh-CN"/>
        </w:rPr>
        <w:t xml:space="preserve">   由于预算绩效管理的专业性，复杂性等特性，业务水平还不能满足绩效管理工作要求，专业素质有待提高；预算绩效管理基础工作进一步加强。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spacing w:line="360" w:lineRule="auto"/>
        <w:ind w:firstLine="630" w:firstLineChars="300"/>
        <w:rPr>
          <w:rFonts w:ascii="黑体" w:eastAsia="黑体"/>
          <w:sz w:val="32"/>
          <w:szCs w:val="32"/>
        </w:rPr>
      </w:pPr>
      <w:r>
        <w:rPr>
          <w:rFonts w:hint="eastAsia" w:ascii="仿宋" w:hAnsi="仿宋" w:eastAsia="仿宋"/>
          <w:lang w:val="en-US" w:eastAsia="zh-CN"/>
        </w:rPr>
        <w:t xml:space="preserve">     </w:t>
      </w:r>
      <w:r>
        <w:rPr>
          <w:rFonts w:hint="eastAsia" w:ascii="黑体" w:eastAsia="黑体"/>
          <w:sz w:val="32"/>
          <w:szCs w:val="32"/>
        </w:rPr>
        <w:t>主管局长： 李伟靖</w:t>
      </w:r>
    </w:p>
    <w:p>
      <w:pPr>
        <w:spacing w:line="360" w:lineRule="auto"/>
        <w:ind w:firstLine="640" w:firstLineChars="200"/>
        <w:rPr>
          <w:rFonts w:ascii="黑体" w:eastAsia="黑体"/>
          <w:b/>
          <w:bCs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   财务科长： 吴亚楠</w:t>
      </w:r>
    </w:p>
    <w:p>
      <w:pPr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   办公室主任：张泽</w:t>
      </w:r>
      <w:bookmarkStart w:id="0" w:name="_GoBack"/>
      <w:bookmarkEnd w:id="0"/>
    </w:p>
    <w:p>
      <w:pPr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   法制科科长：丁立鹏</w:t>
      </w:r>
    </w:p>
    <w:p>
      <w:pPr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   人教科科长：魏艳军</w:t>
      </w:r>
    </w:p>
    <w:p>
      <w:pPr>
        <w:spacing w:line="560" w:lineRule="exact"/>
        <w:rPr>
          <w:rFonts w:hint="default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102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78DDAFE"/>
    <w:multiLevelType w:val="singleLevel"/>
    <w:tmpl w:val="D78DDAF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46E0E"/>
    <w:rsid w:val="00330228"/>
    <w:rsid w:val="00384A26"/>
    <w:rsid w:val="003D62B9"/>
    <w:rsid w:val="00665343"/>
    <w:rsid w:val="007267F3"/>
    <w:rsid w:val="00773795"/>
    <w:rsid w:val="007E6C1F"/>
    <w:rsid w:val="00956A93"/>
    <w:rsid w:val="009E575C"/>
    <w:rsid w:val="009E6C7C"/>
    <w:rsid w:val="00AF167E"/>
    <w:rsid w:val="00AF566A"/>
    <w:rsid w:val="00B478EA"/>
    <w:rsid w:val="00B6553A"/>
    <w:rsid w:val="00BC6576"/>
    <w:rsid w:val="00C75712"/>
    <w:rsid w:val="00CE06BA"/>
    <w:rsid w:val="00CE3FAD"/>
    <w:rsid w:val="00D1126E"/>
    <w:rsid w:val="00EB47BA"/>
    <w:rsid w:val="00F441CC"/>
    <w:rsid w:val="01B104CA"/>
    <w:rsid w:val="02106AB0"/>
    <w:rsid w:val="02B43A28"/>
    <w:rsid w:val="03F25326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2BA963DE"/>
    <w:rsid w:val="33EB6CFF"/>
    <w:rsid w:val="35A12947"/>
    <w:rsid w:val="37387040"/>
    <w:rsid w:val="3B625C0A"/>
    <w:rsid w:val="3BD148C8"/>
    <w:rsid w:val="3CEE1963"/>
    <w:rsid w:val="436B78D3"/>
    <w:rsid w:val="4C9C27FE"/>
    <w:rsid w:val="512260B4"/>
    <w:rsid w:val="52BD6ACB"/>
    <w:rsid w:val="55537534"/>
    <w:rsid w:val="561A74F1"/>
    <w:rsid w:val="58F079FE"/>
    <w:rsid w:val="597244E8"/>
    <w:rsid w:val="5EB71C30"/>
    <w:rsid w:val="607532DA"/>
    <w:rsid w:val="66AF0CE5"/>
    <w:rsid w:val="68DC339B"/>
    <w:rsid w:val="6AC537CF"/>
    <w:rsid w:val="6E5B14A6"/>
    <w:rsid w:val="711B255E"/>
    <w:rsid w:val="7BB51E06"/>
    <w:rsid w:val="7C387F7C"/>
    <w:rsid w:val="7FE45BE7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7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98</Words>
  <Characters>565</Characters>
  <Lines>4</Lines>
  <Paragraphs>1</Paragraphs>
  <TotalTime>0</TotalTime>
  <ScaleCrop>false</ScaleCrop>
  <LinksUpToDate>false</LinksUpToDate>
  <CharactersWithSpaces>662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如果，</cp:lastModifiedBy>
  <cp:lastPrinted>2024-03-06T07:40:00Z</cp:lastPrinted>
  <dcterms:modified xsi:type="dcterms:W3CDTF">2025-05-14T08:27:38Z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96934721B1514D3FBAA28020338CE855_12</vt:lpwstr>
  </property>
</Properties>
</file>