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spacing w:line="560" w:lineRule="exact"/>
        <w:jc w:val="center"/>
        <w:textAlignment w:val="auto"/>
        <w:rPr>
          <w:rFonts w:hint="eastAsia" w:ascii="宋体" w:hAnsi="宋体" w:cs="宋体"/>
          <w:b/>
          <w:bCs/>
          <w:sz w:val="44"/>
          <w:szCs w:val="44"/>
        </w:rPr>
      </w:pPr>
      <w:r>
        <w:rPr>
          <w:rFonts w:hint="eastAsia" w:ascii="宋体" w:hAnsi="宋体" w:cs="宋体"/>
          <w:b/>
          <w:bCs/>
          <w:sz w:val="44"/>
          <w:szCs w:val="44"/>
          <w:lang w:val="en-US" w:eastAsia="zh-CN"/>
        </w:rPr>
        <w:t>科协</w:t>
      </w:r>
      <w:r>
        <w:rPr>
          <w:rFonts w:hint="eastAsia" w:ascii="宋体" w:hAnsi="宋体" w:cs="宋体"/>
          <w:b/>
          <w:bCs/>
          <w:sz w:val="44"/>
          <w:szCs w:val="44"/>
        </w:rPr>
        <w:t>部门202</w:t>
      </w:r>
      <w:r>
        <w:rPr>
          <w:rFonts w:hint="eastAsia" w:ascii="宋体" w:hAnsi="宋体" w:cs="宋体"/>
          <w:b/>
          <w:bCs/>
          <w:sz w:val="44"/>
          <w:szCs w:val="44"/>
          <w:lang w:val="en-US" w:eastAsia="zh-CN"/>
        </w:rPr>
        <w:t>4</w:t>
      </w:r>
      <w:r>
        <w:rPr>
          <w:rFonts w:hint="eastAsia" w:ascii="宋体" w:hAnsi="宋体" w:cs="宋体"/>
          <w:b/>
          <w:bCs/>
          <w:sz w:val="44"/>
          <w:szCs w:val="44"/>
        </w:rPr>
        <w:t>年度</w:t>
      </w:r>
    </w:p>
    <w:p>
      <w:pPr>
        <w:keepNext w:val="0"/>
        <w:keepLines w:val="0"/>
        <w:pageBreakBefore w:val="0"/>
        <w:widowControl w:val="0"/>
        <w:kinsoku/>
        <w:wordWrap/>
        <w:overflowPunct/>
        <w:topLinePunct w:val="0"/>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整体支出绩效自评报告</w:t>
      </w:r>
    </w:p>
    <w:p>
      <w:pPr>
        <w:keepNext w:val="0"/>
        <w:keepLines w:val="0"/>
        <w:pageBreakBefore w:val="0"/>
        <w:widowControl w:val="0"/>
        <w:kinsoku/>
        <w:wordWrap/>
        <w:overflowPunct/>
        <w:topLinePunct w:val="0"/>
        <w:bidi w:val="0"/>
        <w:spacing w:line="560" w:lineRule="exact"/>
        <w:jc w:val="center"/>
        <w:textAlignment w:val="auto"/>
        <w:rPr>
          <w:rFonts w:ascii="华文楷体" w:eastAsia="华文楷体"/>
          <w:sz w:val="32"/>
          <w:szCs w:val="32"/>
        </w:rPr>
      </w:pP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科协</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keepNext w:val="0"/>
        <w:keepLines w:val="0"/>
        <w:pageBreakBefore w:val="0"/>
        <w:widowControl w:val="0"/>
        <w:kinsoku/>
        <w:wordWrap/>
        <w:overflowPunct/>
        <w:topLinePunct w:val="0"/>
        <w:bidi w:val="0"/>
        <w:adjustRightInd w:val="0"/>
        <w:snapToGrid w:val="0"/>
        <w:spacing w:line="560" w:lineRule="exact"/>
        <w:ind w:firstLine="800" w:firstLineChars="25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keepNext w:val="0"/>
        <w:keepLines w:val="0"/>
        <w:pageBreakBefore w:val="0"/>
        <w:widowControl w:val="0"/>
        <w:kinsoku/>
        <w:wordWrap/>
        <w:overflowPunct/>
        <w:topLinePunct w:val="0"/>
        <w:bidi w:val="0"/>
        <w:adjustRightInd w:val="0"/>
        <w:snapToGrid w:val="0"/>
        <w:spacing w:line="560" w:lineRule="exact"/>
        <w:ind w:firstLine="643" w:firstLineChars="200"/>
        <w:textAlignment w:val="auto"/>
        <w:rPr>
          <w:rFonts w:ascii="仿宋" w:hAnsi="仿宋" w:eastAsia="仿宋" w:cs="楷体_GB2312"/>
          <w:b/>
          <w:bCs/>
          <w:sz w:val="32"/>
          <w:szCs w:val="32"/>
        </w:rPr>
      </w:pPr>
      <w:r>
        <w:rPr>
          <w:rFonts w:hint="eastAsia" w:ascii="仿宋" w:hAnsi="仿宋" w:eastAsia="仿宋" w:cs="楷体_GB2312"/>
          <w:b/>
          <w:bCs/>
          <w:sz w:val="32"/>
          <w:szCs w:val="32"/>
        </w:rPr>
        <w:t>（一）部门概况</w:t>
      </w:r>
    </w:p>
    <w:p>
      <w:pPr>
        <w:pStyle w:val="5"/>
        <w:keepNext w:val="0"/>
        <w:keepLines w:val="0"/>
        <w:pageBreakBefore w:val="0"/>
        <w:widowControl w:val="0"/>
        <w:kinsoku/>
        <w:wordWrap/>
        <w:overflowPunct/>
        <w:topLinePunct w:val="0"/>
        <w:bidi w:val="0"/>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部门职责：</w:t>
      </w:r>
      <w:r>
        <w:rPr>
          <w:rFonts w:hint="eastAsia" w:ascii="仿宋" w:hAnsi="仿宋" w:eastAsia="仿宋" w:cs="仿宋"/>
          <w:sz w:val="32"/>
          <w:szCs w:val="32"/>
          <w:lang w:eastAsia="zh-CN"/>
        </w:rPr>
        <w:t>积极发挥科协桥梁和纽带作用，进一步团结和凝聚全县科技工作者，面向大众宣传科技政策，普及科学知识，推广科学技术，</w:t>
      </w:r>
      <w:r>
        <w:rPr>
          <w:rFonts w:hint="eastAsia" w:ascii="仿宋" w:hAnsi="仿宋" w:eastAsia="仿宋" w:cs="仿宋"/>
          <w:sz w:val="32"/>
          <w:szCs w:val="32"/>
        </w:rPr>
        <w:t>协助引进资金、技术、人才；完成县委、县政府交办的其他任务。</w:t>
      </w:r>
    </w:p>
    <w:p>
      <w:pPr>
        <w:keepNext w:val="0"/>
        <w:keepLines w:val="0"/>
        <w:pageBreakBefore w:val="0"/>
        <w:widowControl w:val="0"/>
        <w:kinsoku/>
        <w:wordWrap/>
        <w:overflowPunct/>
        <w:topLinePunct w:val="0"/>
        <w:bidi w:val="0"/>
        <w:spacing w:before="0" w:after="0" w:line="560" w:lineRule="exact"/>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val="0"/>
        <w:kinsoku/>
        <w:wordWrap/>
        <w:overflowPunct/>
        <w:topLinePunct w:val="0"/>
        <w:bidi w:val="0"/>
        <w:spacing w:before="0" w:after="0" w:line="560" w:lineRule="exact"/>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6"/>
              <w:keepNext w:val="0"/>
              <w:keepLines w:val="0"/>
              <w:pageBreakBefore w:val="0"/>
              <w:widowControl w:val="0"/>
              <w:kinsoku/>
              <w:wordWrap/>
              <w:overflowPunct/>
              <w:topLinePunct w:val="0"/>
              <w:bidi w:val="0"/>
              <w:spacing w:line="560" w:lineRule="exact"/>
              <w:textAlignment w:val="auto"/>
            </w:pPr>
            <w:r>
              <w:t>单位名称</w:t>
            </w:r>
          </w:p>
        </w:tc>
        <w:tc>
          <w:tcPr>
            <w:tcW w:w="1843" w:type="dxa"/>
            <w:vAlign w:val="center"/>
          </w:tcPr>
          <w:p>
            <w:pPr>
              <w:pStyle w:val="6"/>
              <w:keepNext w:val="0"/>
              <w:keepLines w:val="0"/>
              <w:pageBreakBefore w:val="0"/>
              <w:widowControl w:val="0"/>
              <w:kinsoku/>
              <w:wordWrap/>
              <w:overflowPunct/>
              <w:topLinePunct w:val="0"/>
              <w:bidi w:val="0"/>
              <w:spacing w:line="560" w:lineRule="exact"/>
              <w:textAlignment w:val="auto"/>
            </w:pPr>
            <w:r>
              <w:t>单位性质</w:t>
            </w:r>
          </w:p>
        </w:tc>
        <w:tc>
          <w:tcPr>
            <w:tcW w:w="2126" w:type="dxa"/>
            <w:vAlign w:val="center"/>
          </w:tcPr>
          <w:p>
            <w:pPr>
              <w:pStyle w:val="6"/>
              <w:keepNext w:val="0"/>
              <w:keepLines w:val="0"/>
              <w:pageBreakBefore w:val="0"/>
              <w:widowControl w:val="0"/>
              <w:kinsoku/>
              <w:wordWrap/>
              <w:overflowPunct/>
              <w:topLinePunct w:val="0"/>
              <w:bidi w:val="0"/>
              <w:spacing w:line="560" w:lineRule="exact"/>
              <w:textAlignment w:val="auto"/>
            </w:pPr>
            <w:r>
              <w:t>单位规格</w:t>
            </w:r>
          </w:p>
        </w:tc>
        <w:tc>
          <w:tcPr>
            <w:tcW w:w="3827" w:type="dxa"/>
            <w:vAlign w:val="center"/>
          </w:tcPr>
          <w:p>
            <w:pPr>
              <w:pStyle w:val="6"/>
              <w:keepNext w:val="0"/>
              <w:keepLines w:val="0"/>
              <w:pageBreakBefore w:val="0"/>
              <w:widowControl w:val="0"/>
              <w:kinsoku/>
              <w:wordWrap/>
              <w:overflowPunct/>
              <w:topLinePunct w:val="0"/>
              <w:bidi w:val="0"/>
              <w:spacing w:line="560"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7"/>
              <w:keepNext w:val="0"/>
              <w:keepLines w:val="0"/>
              <w:pageBreakBefore w:val="0"/>
              <w:widowControl w:val="0"/>
              <w:kinsoku/>
              <w:wordWrap/>
              <w:overflowPunct/>
              <w:topLinePunct w:val="0"/>
              <w:bidi w:val="0"/>
              <w:spacing w:line="560" w:lineRule="exact"/>
              <w:textAlignment w:val="auto"/>
            </w:pPr>
            <w:r>
              <w:rPr>
                <w:rFonts w:hint="eastAsia"/>
                <w:lang w:val="en-US" w:eastAsia="zh-CN"/>
              </w:rPr>
              <w:t>元氏县科学技术协会</w:t>
            </w:r>
            <w:r>
              <w:t>本级</w:t>
            </w:r>
          </w:p>
        </w:tc>
        <w:tc>
          <w:tcPr>
            <w:tcW w:w="1843" w:type="dxa"/>
            <w:vAlign w:val="center"/>
          </w:tcPr>
          <w:p>
            <w:pPr>
              <w:pStyle w:val="8"/>
              <w:keepNext w:val="0"/>
              <w:keepLines w:val="0"/>
              <w:pageBreakBefore w:val="0"/>
              <w:widowControl w:val="0"/>
              <w:kinsoku/>
              <w:wordWrap/>
              <w:overflowPunct/>
              <w:topLinePunct w:val="0"/>
              <w:bidi w:val="0"/>
              <w:spacing w:line="560" w:lineRule="exact"/>
              <w:textAlignment w:val="auto"/>
              <w:rPr>
                <w:rFonts w:hint="eastAsia" w:eastAsia="方正书宋_GBK"/>
                <w:lang w:eastAsia="zh-CN"/>
              </w:rPr>
            </w:pPr>
            <w:r>
              <w:rPr>
                <w:rFonts w:hint="eastAsia"/>
                <w:lang w:eastAsia="zh-CN"/>
              </w:rPr>
              <w:t>事业</w:t>
            </w:r>
          </w:p>
        </w:tc>
        <w:tc>
          <w:tcPr>
            <w:tcW w:w="2126" w:type="dxa"/>
            <w:vAlign w:val="center"/>
          </w:tcPr>
          <w:p>
            <w:pPr>
              <w:pStyle w:val="8"/>
              <w:keepNext w:val="0"/>
              <w:keepLines w:val="0"/>
              <w:pageBreakBefore w:val="0"/>
              <w:widowControl w:val="0"/>
              <w:kinsoku/>
              <w:wordWrap/>
              <w:overflowPunct/>
              <w:topLinePunct w:val="0"/>
              <w:bidi w:val="0"/>
              <w:spacing w:line="560" w:lineRule="exact"/>
              <w:textAlignment w:val="auto"/>
            </w:pPr>
            <w:r>
              <w:t>正科级</w:t>
            </w:r>
          </w:p>
        </w:tc>
        <w:tc>
          <w:tcPr>
            <w:tcW w:w="3827" w:type="dxa"/>
            <w:vAlign w:val="center"/>
          </w:tcPr>
          <w:p>
            <w:pPr>
              <w:pStyle w:val="8"/>
              <w:keepNext w:val="0"/>
              <w:keepLines w:val="0"/>
              <w:pageBreakBefore w:val="0"/>
              <w:widowControl w:val="0"/>
              <w:kinsoku/>
              <w:wordWrap/>
              <w:overflowPunct/>
              <w:topLinePunct w:val="0"/>
              <w:bidi w:val="0"/>
              <w:spacing w:line="560" w:lineRule="exact"/>
              <w:textAlignment w:val="auto"/>
            </w:pPr>
            <w:r>
              <w:t>财政拨款</w:t>
            </w:r>
          </w:p>
        </w:tc>
      </w:tr>
    </w:tbl>
    <w:p>
      <w:pPr>
        <w:keepNext w:val="0"/>
        <w:keepLines w:val="0"/>
        <w:pageBreakBefore w:val="0"/>
        <w:widowControl w:val="0"/>
        <w:kinsoku/>
        <w:wordWrap/>
        <w:overflowPunct/>
        <w:topLinePunct w:val="0"/>
        <w:autoSpaceDE/>
        <w:autoSpaceDN/>
        <w:bidi w:val="0"/>
        <w:spacing w:before="0" w:after="0" w:line="560" w:lineRule="exact"/>
        <w:ind w:firstLine="640"/>
        <w:jc w:val="left"/>
        <w:textAlignment w:val="auto"/>
        <w:outlineLvl w:val="9"/>
        <w:rPr>
          <w:rFonts w:hint="eastAsia"/>
          <w:b/>
          <w:color w:val="000000"/>
          <w:sz w:val="32"/>
          <w:lang w:eastAsia="zh-CN"/>
        </w:rPr>
      </w:pPr>
      <w:r>
        <w:rPr>
          <w:rFonts w:hint="eastAsia"/>
          <w:b/>
          <w:color w:val="000000"/>
          <w:sz w:val="32"/>
          <w:lang w:eastAsia="zh-CN"/>
        </w:rPr>
        <w:t>人员情况：</w:t>
      </w:r>
    </w:p>
    <w:p>
      <w:pPr>
        <w:keepNext w:val="0"/>
        <w:keepLines w:val="0"/>
        <w:pageBreakBefore w:val="0"/>
        <w:widowControl w:val="0"/>
        <w:kinsoku/>
        <w:wordWrap/>
        <w:overflowPunct/>
        <w:topLinePunct w:val="0"/>
        <w:autoSpaceDE/>
        <w:autoSpaceDN/>
        <w:bidi w:val="0"/>
        <w:spacing w:before="0" w:after="0" w:line="560" w:lineRule="exact"/>
        <w:ind w:firstLine="640"/>
        <w:jc w:val="left"/>
        <w:textAlignment w:val="auto"/>
        <w:outlineLvl w:val="9"/>
        <w:rPr>
          <w:rStyle w:val="9"/>
          <w:rFonts w:hint="eastAsia" w:eastAsia="仿宋_GB2312" w:cs="Times New Roman"/>
          <w:color w:val="auto"/>
          <w:kern w:val="0"/>
          <w:lang w:val="en-US" w:eastAsia="zh-CN"/>
        </w:rPr>
      </w:pPr>
      <w:r>
        <w:rPr>
          <w:rFonts w:hint="eastAsia" w:ascii="仿宋" w:hAnsi="仿宋" w:eastAsia="仿宋" w:cs="仿宋"/>
          <w:kern w:val="0"/>
          <w:sz w:val="32"/>
          <w:szCs w:val="32"/>
          <w:lang w:bidi="ar"/>
        </w:rPr>
        <w:t>202</w:t>
      </w:r>
      <w:r>
        <w:rPr>
          <w:rFonts w:hint="eastAsia" w:ascii="仿宋" w:hAnsi="仿宋" w:eastAsia="仿宋" w:cs="仿宋"/>
          <w:kern w:val="0"/>
          <w:sz w:val="32"/>
          <w:szCs w:val="32"/>
          <w:lang w:val="en-US" w:eastAsia="zh-CN" w:bidi="ar"/>
        </w:rPr>
        <w:t>4</w:t>
      </w:r>
      <w:r>
        <w:rPr>
          <w:rFonts w:hint="eastAsia" w:ascii="仿宋" w:hAnsi="仿宋" w:eastAsia="仿宋" w:cs="仿宋"/>
          <w:kern w:val="0"/>
          <w:sz w:val="32"/>
          <w:szCs w:val="32"/>
          <w:lang w:bidi="ar"/>
        </w:rPr>
        <w:t>年</w:t>
      </w:r>
      <w:r>
        <w:rPr>
          <w:rFonts w:hint="eastAsia" w:ascii="仿宋" w:hAnsi="仿宋" w:eastAsia="仿宋" w:cs="仿宋"/>
          <w:kern w:val="0"/>
          <w:sz w:val="32"/>
          <w:szCs w:val="32"/>
          <w:lang w:eastAsia="zh-CN" w:bidi="ar"/>
        </w:rPr>
        <w:t>底</w:t>
      </w:r>
      <w:r>
        <w:rPr>
          <w:rStyle w:val="9"/>
          <w:rFonts w:hint="default"/>
          <w:color w:val="auto"/>
          <w:kern w:val="0"/>
        </w:rPr>
        <w:t>，我单位实有</w:t>
      </w:r>
      <w:r>
        <w:rPr>
          <w:rStyle w:val="9"/>
          <w:rFonts w:hint="eastAsia" w:eastAsia="仿宋_GB2312"/>
          <w:color w:val="auto"/>
          <w:kern w:val="0"/>
          <w:lang w:eastAsia="zh-CN"/>
        </w:rPr>
        <w:t>在职</w:t>
      </w:r>
      <w:r>
        <w:rPr>
          <w:rStyle w:val="9"/>
          <w:rFonts w:hint="default"/>
          <w:color w:val="auto"/>
          <w:kern w:val="0"/>
        </w:rPr>
        <w:t>人员</w:t>
      </w:r>
      <w:r>
        <w:rPr>
          <w:rStyle w:val="9"/>
          <w:rFonts w:hint="eastAsia" w:eastAsia="仿宋_GB2312"/>
          <w:color w:val="auto"/>
          <w:kern w:val="0"/>
          <w:lang w:val="en-US" w:eastAsia="zh-CN"/>
        </w:rPr>
        <w:t>7</w:t>
      </w:r>
      <w:r>
        <w:rPr>
          <w:rStyle w:val="9"/>
          <w:rFonts w:hint="eastAsia" w:eastAsia="仿宋_GB2312"/>
          <w:color w:val="auto"/>
          <w:kern w:val="0"/>
          <w:lang w:eastAsia="zh-CN"/>
        </w:rPr>
        <w:t>人</w:t>
      </w:r>
      <w:r>
        <w:rPr>
          <w:rStyle w:val="9"/>
          <w:rFonts w:hint="default"/>
          <w:color w:val="auto"/>
          <w:kern w:val="0"/>
        </w:rPr>
        <w:t>，</w:t>
      </w:r>
      <w:r>
        <w:rPr>
          <w:rStyle w:val="9"/>
          <w:rFonts w:hint="default" w:hAnsi="Times New Roman" w:eastAsia="仿宋_GB2312" w:cs="Times New Roman"/>
          <w:color w:val="auto"/>
          <w:kern w:val="0"/>
          <w:lang w:val="en-US" w:eastAsia="zh-CN"/>
        </w:rPr>
        <w:t>退休人员</w:t>
      </w:r>
      <w:r>
        <w:rPr>
          <w:rStyle w:val="9"/>
          <w:rFonts w:hint="eastAsia" w:eastAsia="仿宋_GB2312" w:cs="Times New Roman"/>
          <w:color w:val="auto"/>
          <w:kern w:val="0"/>
          <w:lang w:val="en-US" w:eastAsia="zh-CN"/>
        </w:rPr>
        <w:t>6人。</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hint="eastAsia"/>
          <w:b/>
          <w:color w:val="000000"/>
          <w:sz w:val="32"/>
          <w:lang w:eastAsia="zh-CN"/>
        </w:rPr>
      </w:pPr>
      <w:r>
        <w:rPr>
          <w:rFonts w:hint="eastAsia"/>
          <w:b/>
          <w:color w:val="000000"/>
          <w:sz w:val="32"/>
          <w:lang w:eastAsia="zh-CN"/>
        </w:rPr>
        <w:t>固定资产：</w:t>
      </w:r>
    </w:p>
    <w:p>
      <w:pPr>
        <w:keepNext w:val="0"/>
        <w:keepLines w:val="0"/>
        <w:pageBreakBefore w:val="0"/>
        <w:widowControl w:val="0"/>
        <w:kinsoku/>
        <w:wordWrap/>
        <w:overflowPunct/>
        <w:topLinePunct w:val="0"/>
        <w:autoSpaceDE/>
        <w:autoSpaceDN/>
        <w:bidi w:val="0"/>
        <w:spacing w:before="0" w:after="0" w:line="560" w:lineRule="exact"/>
        <w:ind w:firstLine="640"/>
        <w:jc w:val="left"/>
        <w:textAlignment w:val="auto"/>
        <w:outlineLvl w:val="9"/>
        <w:rPr>
          <w:rFonts w:hint="eastAsia" w:ascii="仿宋" w:hAnsi="仿宋" w:eastAsia="宋体"/>
          <w:sz w:val="32"/>
          <w:szCs w:val="32"/>
          <w:lang w:eastAsia="zh-CN"/>
        </w:rPr>
      </w:pPr>
      <w:r>
        <w:rPr>
          <w:rFonts w:hint="eastAsia"/>
          <w:b w:val="0"/>
          <w:color w:val="000000"/>
          <w:sz w:val="28"/>
          <w:lang w:val="en-US" w:eastAsia="zh-CN"/>
        </w:rPr>
        <w:t>科协</w:t>
      </w:r>
      <w:r>
        <w:rPr>
          <w:b w:val="0"/>
          <w:color w:val="000000"/>
          <w:sz w:val="28"/>
        </w:rPr>
        <w:t>上年末固定资产金额为</w:t>
      </w:r>
      <w:r>
        <w:rPr>
          <w:rFonts w:hint="eastAsia"/>
          <w:b w:val="0"/>
          <w:color w:val="000000"/>
          <w:sz w:val="28"/>
          <w:lang w:val="en-US" w:eastAsia="zh-CN"/>
        </w:rPr>
        <w:t>0</w:t>
      </w:r>
      <w:r>
        <w:rPr>
          <w:b w:val="0"/>
          <w:color w:val="000000"/>
          <w:sz w:val="28"/>
        </w:rPr>
        <w:t>元</w:t>
      </w:r>
      <w:r>
        <w:rPr>
          <w:rFonts w:hint="eastAsia"/>
          <w:b w:val="0"/>
          <w:color w:val="000000"/>
          <w:sz w:val="28"/>
          <w:lang w:eastAsia="zh-CN"/>
        </w:rPr>
        <w:t>。</w:t>
      </w:r>
    </w:p>
    <w:p>
      <w:pPr>
        <w:keepNext w:val="0"/>
        <w:keepLines w:val="0"/>
        <w:pageBreakBefore w:val="0"/>
        <w:widowControl w:val="0"/>
        <w:numPr>
          <w:ilvl w:val="0"/>
          <w:numId w:val="1"/>
        </w:numPr>
        <w:kinsoku/>
        <w:wordWrap/>
        <w:overflowPunct/>
        <w:topLinePunct w:val="0"/>
        <w:bidi w:val="0"/>
        <w:adjustRightInd w:val="0"/>
        <w:snapToGrid w:val="0"/>
        <w:spacing w:line="560" w:lineRule="exact"/>
        <w:ind w:firstLine="643" w:firstLineChars="200"/>
        <w:textAlignment w:val="auto"/>
        <w:rPr>
          <w:rFonts w:hint="eastAsia" w:ascii="仿宋" w:hAnsi="仿宋" w:eastAsia="仿宋" w:cs="楷体_GB2312"/>
          <w:b/>
          <w:bCs/>
          <w:sz w:val="32"/>
          <w:szCs w:val="32"/>
        </w:rPr>
      </w:pPr>
      <w:r>
        <w:rPr>
          <w:rFonts w:hint="eastAsia" w:ascii="仿宋" w:hAnsi="仿宋" w:eastAsia="仿宋" w:cs="楷体_GB2312"/>
          <w:b/>
          <w:bCs/>
          <w:sz w:val="32"/>
          <w:szCs w:val="32"/>
        </w:rPr>
        <w:t>部门收支预决算情况</w:t>
      </w:r>
    </w:p>
    <w:p>
      <w:pPr>
        <w:keepNext w:val="0"/>
        <w:keepLines w:val="0"/>
        <w:pageBreakBefore w:val="0"/>
        <w:widowControl w:val="0"/>
        <w:kinsoku/>
        <w:wordWrap/>
        <w:overflowPunct/>
        <w:topLinePunct w:val="0"/>
        <w:bidi w:val="0"/>
        <w:adjustRightInd w:val="0"/>
        <w:snapToGrid w:val="0"/>
        <w:spacing w:line="560" w:lineRule="exact"/>
        <w:ind w:firstLine="420" w:firstLineChars="200"/>
        <w:textAlignment w:val="auto"/>
        <w:rPr>
          <w:rFonts w:hint="eastAsia" w:ascii="仿宋_GB2312" w:hAnsi="Times New Roman" w:eastAsia="仿宋_GB2312" w:cs="DengXian-Regular"/>
          <w:sz w:val="32"/>
          <w:szCs w:val="32"/>
          <w:lang w:val="en-US" w:eastAsia="zh-CN"/>
        </w:rPr>
      </w:pPr>
      <w:r>
        <w:rPr>
          <w:rFonts w:hint="eastAsia"/>
          <w:lang w:val="en-US" w:eastAsia="zh-CN"/>
        </w:rPr>
        <w:t xml:space="preserve">     </w:t>
      </w:r>
      <w:r>
        <w:rPr>
          <w:rFonts w:hint="eastAsia" w:ascii="仿宋_GB2312" w:hAnsi="Times New Roman" w:eastAsia="仿宋_GB2312" w:cs="DengXian-Regular"/>
          <w:sz w:val="32"/>
          <w:szCs w:val="32"/>
        </w:rPr>
        <w:t>20</w:t>
      </w:r>
      <w:r>
        <w:rPr>
          <w:rFonts w:hint="eastAsia" w:ascii="仿宋_GB2312" w:hAnsi="Times New Roman" w:eastAsia="仿宋_GB2312" w:cs="DengXian-Regular"/>
          <w:sz w:val="32"/>
          <w:szCs w:val="32"/>
          <w:lang w:val="en-US" w:eastAsia="zh-CN"/>
        </w:rPr>
        <w:t>2</w:t>
      </w:r>
      <w:r>
        <w:rPr>
          <w:rFonts w:hint="eastAsia" w:ascii="仿宋_GB2312" w:eastAsia="仿宋_GB2312" w:cs="DengXian-Regular"/>
          <w:sz w:val="32"/>
          <w:szCs w:val="32"/>
          <w:lang w:val="en-US" w:eastAsia="zh-CN"/>
        </w:rPr>
        <w:t>4</w:t>
      </w:r>
      <w:r>
        <w:rPr>
          <w:rFonts w:hint="eastAsia" w:ascii="仿宋_GB2312" w:hAnsi="Times New Roman" w:eastAsia="仿宋_GB2312" w:cs="DengXian-Regular"/>
          <w:sz w:val="32"/>
          <w:szCs w:val="32"/>
        </w:rPr>
        <w:t>年度收支总计（含结转和结余）</w:t>
      </w:r>
      <w:r>
        <w:rPr>
          <w:rFonts w:hint="eastAsia" w:ascii="仿宋_GB2312" w:eastAsia="仿宋_GB2312" w:cs="DengXian-Regular"/>
          <w:sz w:val="32"/>
          <w:szCs w:val="32"/>
          <w:lang w:val="en-US" w:eastAsia="zh-CN"/>
        </w:rPr>
        <w:t>90.78</w:t>
      </w:r>
      <w:r>
        <w:rPr>
          <w:rFonts w:hint="eastAsia" w:ascii="仿宋_GB2312" w:hAnsi="Times New Roman" w:eastAsia="仿宋_GB2312" w:cs="DengXian-Regular"/>
          <w:sz w:val="32"/>
          <w:szCs w:val="32"/>
        </w:rPr>
        <w:t>万元。与20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年度决算相比，收支</w:t>
      </w:r>
      <w:r>
        <w:rPr>
          <w:rFonts w:hint="eastAsia" w:ascii="仿宋_GB2312" w:hAnsi="Times New Roman" w:eastAsia="仿宋_GB2312" w:cs="DengXian-Regular"/>
          <w:sz w:val="32"/>
          <w:szCs w:val="32"/>
          <w:lang w:eastAsia="zh-CN"/>
        </w:rPr>
        <w:t>各增加</w:t>
      </w:r>
      <w:r>
        <w:rPr>
          <w:rFonts w:hint="eastAsia" w:ascii="仿宋_GB2312" w:eastAsia="仿宋_GB2312" w:cs="DengXian-Regular"/>
          <w:sz w:val="32"/>
          <w:szCs w:val="32"/>
          <w:lang w:val="en-US" w:eastAsia="zh-CN"/>
        </w:rPr>
        <w:t>8.02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增长</w:t>
      </w:r>
      <w:r>
        <w:rPr>
          <w:rFonts w:hint="eastAsia" w:ascii="仿宋_GB2312" w:hAnsi="Times New Roman" w:eastAsia="仿宋_GB2312" w:cs="DengXian-Regular"/>
          <w:sz w:val="32"/>
          <w:szCs w:val="32"/>
          <w:lang w:val="en-US" w:eastAsia="zh-CN"/>
        </w:rPr>
        <w:t>0.</w:t>
      </w:r>
      <w:r>
        <w:rPr>
          <w:rFonts w:hint="eastAsia" w:ascii="仿宋_GB2312" w:eastAsia="仿宋_GB2312" w:cs="DengXian-Regular"/>
          <w:sz w:val="32"/>
          <w:szCs w:val="32"/>
          <w:lang w:val="en-US" w:eastAsia="zh-CN"/>
        </w:rPr>
        <w:t>1</w:t>
      </w:r>
      <w:r>
        <w:rPr>
          <w:rFonts w:hint="eastAsia" w:ascii="仿宋_GB2312" w:hAnsi="Times New Roman" w:eastAsia="仿宋_GB2312" w:cs="DengXian-Regular"/>
          <w:sz w:val="32"/>
          <w:szCs w:val="32"/>
        </w:rPr>
        <w:t>%，主要原因</w:t>
      </w:r>
      <w:r>
        <w:rPr>
          <w:rFonts w:hint="eastAsia" w:ascii="仿宋_GB2312" w:hAnsi="Times New Roman" w:eastAsia="仿宋_GB2312" w:cs="DengXian-Regular"/>
          <w:sz w:val="32"/>
          <w:szCs w:val="32"/>
          <w:lang w:eastAsia="zh-CN"/>
        </w:rPr>
        <w:t>是增加了</w:t>
      </w:r>
      <w:r>
        <w:rPr>
          <w:rFonts w:hint="eastAsia" w:ascii="仿宋_GB2312" w:hAnsi="仿宋" w:eastAsia="仿宋_GB2312"/>
          <w:sz w:val="32"/>
          <w:szCs w:val="32"/>
          <w:lang w:val="en-US" w:eastAsia="zh-CN"/>
        </w:rPr>
        <w:t>人员</w:t>
      </w:r>
      <w:r>
        <w:rPr>
          <w:rFonts w:hint="eastAsia" w:ascii="仿宋_GB2312" w:hAnsi="仿宋" w:eastAsia="仿宋_GB2312"/>
          <w:sz w:val="32"/>
          <w:szCs w:val="32"/>
        </w:rPr>
        <w:t>经费</w:t>
      </w:r>
      <w:r>
        <w:rPr>
          <w:rFonts w:hint="eastAsia" w:ascii="仿宋_GB2312" w:hAnsi="Times New Roman" w:eastAsia="仿宋_GB2312" w:cs="DengXian-Regular"/>
          <w:sz w:val="32"/>
          <w:szCs w:val="32"/>
          <w:lang w:val="en-US" w:eastAsia="zh-CN"/>
        </w:rPr>
        <w:t>。</w:t>
      </w:r>
    </w:p>
    <w:p>
      <w:pPr>
        <w:keepNext w:val="0"/>
        <w:keepLines w:val="0"/>
        <w:pageBreakBefore w:val="0"/>
        <w:widowControl w:val="0"/>
        <w:kinsoku/>
        <w:wordWrap/>
        <w:overflowPunct/>
        <w:topLinePunct w:val="0"/>
        <w:bidi w:val="0"/>
        <w:adjustRightInd w:val="0"/>
        <w:snapToGrid w:val="0"/>
        <w:spacing w:line="560" w:lineRule="exact"/>
        <w:ind w:firstLine="643" w:firstLineChars="200"/>
        <w:textAlignment w:val="auto"/>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绩效目标：开展科普宣传活动逐步壮大科普队伍和阵地建设，提升公民科学素质。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产出指标：科普活动不少于</w:t>
      </w:r>
      <w:r>
        <w:rPr>
          <w:rFonts w:hint="eastAsia" w:ascii="仿宋_GB2312" w:eastAsia="仿宋_GB2312"/>
          <w:sz w:val="32"/>
          <w:szCs w:val="32"/>
          <w:lang w:val="en-US" w:eastAsia="zh-CN"/>
        </w:rPr>
        <w:t>4次。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满意度指标：受众群体满意人数90%。</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bidi w:val="0"/>
        <w:spacing w:line="560" w:lineRule="exact"/>
        <w:ind w:firstLine="630" w:firstLineChars="196"/>
        <w:textAlignment w:val="auto"/>
        <w:rPr>
          <w:rFonts w:ascii="仿宋" w:hAnsi="仿宋" w:eastAsia="仿宋" w:cs="楷体_GB2312"/>
          <w:sz w:val="32"/>
          <w:szCs w:val="32"/>
        </w:rPr>
      </w:pP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bidi w:val="0"/>
        <w:spacing w:line="560" w:lineRule="exact"/>
        <w:ind w:firstLine="627" w:firstLineChars="196"/>
        <w:textAlignment w:val="auto"/>
        <w:rPr>
          <w:rFonts w:hint="eastAsia" w:ascii="仿宋_GB2312" w:hAnsi="Times New Roman" w:eastAsia="仿宋_GB2312" w:cs="DengXian-Regular"/>
          <w:sz w:val="32"/>
          <w:szCs w:val="32"/>
          <w:lang w:eastAsia="zh-CN"/>
        </w:rPr>
      </w:pPr>
      <w:r>
        <w:rPr>
          <w:rFonts w:hint="eastAsia" w:ascii="仿宋" w:hAnsi="仿宋" w:eastAsia="仿宋"/>
          <w:sz w:val="32"/>
          <w:szCs w:val="32"/>
        </w:rPr>
        <w:t xml:space="preserve">  </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准备情况</w:t>
      </w:r>
      <w:r>
        <w:rPr>
          <w:rFonts w:hint="eastAsia" w:ascii="仿宋_GB2312" w:hAnsi="Times New Roman" w:eastAsia="仿宋_GB2312" w:cs="DengXian-Regular"/>
          <w:sz w:val="32"/>
          <w:szCs w:val="32"/>
          <w:lang w:eastAsia="zh-CN"/>
        </w:rPr>
        <w:t>：</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是明确绩效评价的内容和范围。明确四个方面的评价内容和此次绩效评价的范围。二是研究评价指标体系。三是召开座谈会，对方案进行反复讨论并广泛征求有关问道有关人员意见。四是确定了部门项目预算评价方法。</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实施情况</w:t>
      </w:r>
      <w:r>
        <w:rPr>
          <w:rFonts w:hint="eastAsia" w:ascii="仿宋_GB2312" w:hAnsi="Times New Roman" w:eastAsia="仿宋_GB2312" w:cs="DengXian-Regular"/>
          <w:sz w:val="32"/>
          <w:szCs w:val="32"/>
          <w:lang w:eastAsia="zh-CN"/>
        </w:rPr>
        <w:t>：</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1</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成立预算绩效评价组。为保证绩效评价工作顺利开展，我单位成立了专门绩效评价小组，负责绩效评价的组织管理和实施工作。</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2</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组织部门自评。预算按照要求整理相关数据和资料，对部门综合绩效情况进行自我评价，填报《项目支出绩效自评表》，并撰写《部门年度绩效自评工作报告》。</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3</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组织开展绩效重点评价工作。本次重点评价对象为202</w:t>
      </w:r>
      <w:r>
        <w:rPr>
          <w:rFonts w:hint="eastAsia" w:ascii="仿宋_GB2312" w:eastAsia="仿宋_GB2312" w:cs="DengXian-Regular"/>
          <w:sz w:val="32"/>
          <w:szCs w:val="32"/>
          <w:lang w:val="en-US" w:eastAsia="zh-CN"/>
        </w:rPr>
        <w:t>4</w:t>
      </w:r>
      <w:r>
        <w:rPr>
          <w:rFonts w:hint="eastAsia" w:ascii="仿宋_GB2312" w:hAnsi="Times New Roman" w:eastAsia="仿宋_GB2312" w:cs="DengXian-Regular"/>
          <w:sz w:val="32"/>
          <w:szCs w:val="32"/>
        </w:rPr>
        <w:t>年度预算的1个项目，涉及资金</w:t>
      </w:r>
      <w:r>
        <w:rPr>
          <w:rFonts w:hint="eastAsia" w:ascii="仿宋_GB2312" w:eastAsia="仿宋_GB2312" w:cs="DengXian-Regular"/>
          <w:sz w:val="32"/>
          <w:szCs w:val="32"/>
          <w:lang w:val="en-US" w:eastAsia="zh-CN"/>
        </w:rPr>
        <w:t>1.8</w:t>
      </w:r>
      <w:r>
        <w:rPr>
          <w:rFonts w:hint="eastAsia" w:ascii="仿宋_GB2312" w:hAnsi="Times New Roman" w:eastAsia="仿宋_GB2312" w:cs="DengXian-Regular"/>
          <w:sz w:val="32"/>
          <w:szCs w:val="32"/>
        </w:rPr>
        <w:t>万元。</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我部门对项目资金支出由业务科室进行把关，科室负责人、主管领导、财务负责人进行集体会签，确保资金专款专用，及时高效。</w:t>
      </w:r>
    </w:p>
    <w:p>
      <w:pPr>
        <w:keepNext w:val="0"/>
        <w:keepLines w:val="0"/>
        <w:pageBreakBefore w:val="0"/>
        <w:widowControl w:val="0"/>
        <w:numPr>
          <w:ilvl w:val="0"/>
          <w:numId w:val="2"/>
        </w:numPr>
        <w:kinsoku/>
        <w:wordWrap/>
        <w:overflowPunct/>
        <w:topLinePunct w:val="0"/>
        <w:bidi w:val="0"/>
        <w:adjustRightInd w:val="0"/>
        <w:snapToGrid w:val="0"/>
        <w:spacing w:line="560" w:lineRule="exact"/>
        <w:ind w:firstLine="643" w:firstLineChars="200"/>
        <w:textAlignment w:val="auto"/>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keepNext w:val="0"/>
        <w:keepLines w:val="0"/>
        <w:pageBreakBefore w:val="0"/>
        <w:widowControl w:val="0"/>
        <w:numPr>
          <w:ilvl w:val="0"/>
          <w:numId w:val="0"/>
        </w:numPr>
        <w:kinsoku/>
        <w:wordWrap/>
        <w:overflowPunct/>
        <w:topLinePunct w:val="0"/>
        <w:bidi w:val="0"/>
        <w:adjustRightInd w:val="0"/>
        <w:snapToGrid w:val="0"/>
        <w:spacing w:line="560" w:lineRule="exact"/>
        <w:ind w:firstLine="640" w:firstLineChars="200"/>
        <w:textAlignment w:val="auto"/>
        <w:rPr>
          <w:rFonts w:ascii="仿宋" w:hAnsi="仿宋" w:eastAsia="仿宋" w:cs="楷体_GB2312"/>
          <w:b/>
          <w:bCs/>
          <w:sz w:val="32"/>
          <w:szCs w:val="32"/>
        </w:rPr>
      </w:pPr>
      <w:r>
        <w:rPr>
          <w:rFonts w:hint="eastAsia" w:ascii="仿宋_GB2312" w:hAnsi="Times New Roman" w:eastAsia="仿宋_GB2312" w:cs="DengXian-Regular"/>
          <w:sz w:val="32"/>
          <w:szCs w:val="32"/>
          <w:lang w:eastAsia="zh-CN"/>
        </w:rPr>
        <w:t>我单位领导高度重视绩效评价工作，成立绩效评价管理工作领导小组，</w:t>
      </w:r>
      <w:r>
        <w:rPr>
          <w:rFonts w:hint="eastAsia" w:ascii="仿宋_GB2312" w:eastAsia="仿宋_GB2312" w:cs="DengXian-Regular"/>
          <w:sz w:val="32"/>
          <w:szCs w:val="32"/>
          <w:lang w:eastAsia="zh-CN"/>
        </w:rPr>
        <w:t>主席</w:t>
      </w:r>
      <w:r>
        <w:rPr>
          <w:rFonts w:hint="eastAsia" w:ascii="仿宋_GB2312" w:hAnsi="Times New Roman" w:eastAsia="仿宋_GB2312" w:cs="DengXian-Regular"/>
          <w:sz w:val="32"/>
          <w:szCs w:val="32"/>
          <w:lang w:eastAsia="zh-CN"/>
        </w:rPr>
        <w:t>任组长。自评采取成本效益法，在认真收集基础数据及资料来源的前提下对项目的支出绩效情况进行评价，对项目成果进行验收及核实，做到数据真实、资料完整、评价客观。</w:t>
      </w:r>
    </w:p>
    <w:p>
      <w:pPr>
        <w:keepNext w:val="0"/>
        <w:keepLines w:val="0"/>
        <w:pageBreakBefore w:val="0"/>
        <w:widowControl w:val="0"/>
        <w:kinsoku/>
        <w:wordWrap/>
        <w:overflowPunct/>
        <w:topLinePunct w:val="0"/>
        <w:bidi w:val="0"/>
        <w:spacing w:line="560" w:lineRule="exact"/>
        <w:ind w:firstLine="480" w:firstLineChars="15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pPr>
        <w:keepNext w:val="0"/>
        <w:keepLines w:val="0"/>
        <w:pageBreakBefore w:val="0"/>
        <w:widowControl w:val="0"/>
        <w:numPr>
          <w:ilvl w:val="0"/>
          <w:numId w:val="3"/>
        </w:numPr>
        <w:kinsoku/>
        <w:wordWrap/>
        <w:overflowPunct/>
        <w:topLinePunct w:val="0"/>
        <w:bidi w:val="0"/>
        <w:spacing w:line="560" w:lineRule="exact"/>
        <w:ind w:firstLine="643" w:firstLineChars="200"/>
        <w:textAlignment w:val="auto"/>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keepNext w:val="0"/>
        <w:keepLines w:val="0"/>
        <w:pageBreakBefore w:val="0"/>
        <w:widowControl w:val="0"/>
        <w:kinsoku/>
        <w:wordWrap/>
        <w:overflowPunct/>
        <w:topLinePunct w:val="0"/>
        <w:autoSpaceDE w:val="0"/>
        <w:autoSpaceDN w:val="0"/>
        <w:bidi w:val="0"/>
        <w:adjustRightInd w:val="0"/>
        <w:spacing w:line="560" w:lineRule="exact"/>
        <w:ind w:left="198" w:firstLine="643" w:firstLineChars="200"/>
        <w:jc w:val="left"/>
        <w:textAlignment w:val="auto"/>
        <w:rPr>
          <w:rFonts w:hint="eastAsia" w:ascii="黑体" w:hAnsi="黑体" w:eastAsia="黑体" w:cs="黑体"/>
          <w:b/>
          <w:sz w:val="32"/>
          <w:szCs w:val="32"/>
        </w:rPr>
      </w:pPr>
      <w:r>
        <w:rPr>
          <w:rFonts w:hint="eastAsia" w:asciiTheme="majorEastAsia" w:hAnsiTheme="majorEastAsia" w:eastAsiaTheme="majorEastAsia" w:cstheme="majorEastAsia"/>
          <w:b/>
          <w:sz w:val="32"/>
          <w:szCs w:val="32"/>
        </w:rPr>
        <w:t>（一）总体绩效目标</w:t>
      </w:r>
      <w:r>
        <w:rPr>
          <w:rFonts w:hint="eastAsia" w:ascii="黑体" w:hAnsi="黑体" w:eastAsia="黑体" w:cs="黑体"/>
          <w:b/>
          <w:sz w:val="32"/>
          <w:szCs w:val="32"/>
        </w:rPr>
        <w:fldChar w:fldCharType="begin"/>
      </w:r>
      <w:r>
        <w:rPr>
          <w:rFonts w:hint="eastAsia" w:ascii="黑体" w:hAnsi="黑体" w:eastAsia="黑体" w:cs="黑体"/>
          <w:b/>
          <w:sz w:val="32"/>
          <w:szCs w:val="32"/>
        </w:rPr>
        <w:instrText xml:space="preserve"> TC </w:instrText>
      </w:r>
      <w:bookmarkStart w:id="0" w:name="_Toc29484628"/>
      <w:r>
        <w:rPr>
          <w:rFonts w:hint="eastAsia" w:ascii="黑体" w:hAnsi="黑体" w:eastAsia="黑体" w:cs="黑体"/>
          <w:b/>
          <w:sz w:val="32"/>
          <w:szCs w:val="32"/>
        </w:rPr>
        <w:instrText xml:space="preserve">总体绩效目标</w:instrText>
      </w:r>
      <w:bookmarkEnd w:id="0"/>
      <w:r>
        <w:rPr>
          <w:rFonts w:hint="eastAsia" w:ascii="黑体" w:hAnsi="黑体" w:eastAsia="黑体" w:cs="黑体"/>
          <w:b/>
          <w:sz w:val="32"/>
          <w:szCs w:val="32"/>
        </w:rPr>
        <w:instrText xml:space="preserve"> \f A \l 1 </w:instrText>
      </w:r>
      <w:r>
        <w:rPr>
          <w:rFonts w:hint="eastAsia" w:ascii="黑体" w:hAnsi="黑体" w:eastAsia="黑体" w:cs="黑体"/>
          <w:b/>
          <w:sz w:val="32"/>
          <w:szCs w:val="32"/>
        </w:rPr>
        <w:fldChar w:fldCharType="end"/>
      </w:r>
    </w:p>
    <w:p>
      <w:pPr>
        <w:keepNext w:val="0"/>
        <w:keepLines w:val="0"/>
        <w:pageBreakBefore w:val="0"/>
        <w:widowControl w:val="0"/>
        <w:kinsoku/>
        <w:wordWrap/>
        <w:overflowPunct/>
        <w:topLinePunct w:val="0"/>
        <w:autoSpaceDE w:val="0"/>
        <w:autoSpaceDN w:val="0"/>
        <w:bidi w:val="0"/>
        <w:adjustRightInd w:val="0"/>
        <w:spacing w:line="560" w:lineRule="exact"/>
        <w:ind w:left="198" w:firstLine="640" w:firstLineChars="200"/>
        <w:jc w:val="left"/>
        <w:textAlignment w:val="auto"/>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全面贯彻党的</w:t>
      </w:r>
      <w:r>
        <w:rPr>
          <w:rFonts w:hint="eastAsia" w:eastAsia="仿宋" w:cs="Times New Roman"/>
          <w:sz w:val="32"/>
          <w:szCs w:val="32"/>
          <w:lang w:eastAsia="zh-CN"/>
        </w:rPr>
        <w:t>二十</w:t>
      </w:r>
      <w:r>
        <w:rPr>
          <w:rFonts w:hint="eastAsia" w:ascii="Times New Roman" w:hAnsi="Times New Roman" w:eastAsia="仿宋" w:cs="Times New Roman"/>
          <w:sz w:val="32"/>
          <w:szCs w:val="32"/>
        </w:rPr>
        <w:t>大精神，坚持以习近平新时代中国特色社会主义思想为统领，扎实推进</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委</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政府工作部署落地落实。认真做好</w:t>
      </w:r>
      <w:r>
        <w:rPr>
          <w:rFonts w:hint="eastAsia" w:eastAsia="仿宋" w:cs="Times New Roman"/>
          <w:sz w:val="32"/>
          <w:szCs w:val="32"/>
          <w:lang w:eastAsia="zh-CN"/>
        </w:rPr>
        <w:t>科协</w:t>
      </w:r>
      <w:r>
        <w:rPr>
          <w:rFonts w:hint="eastAsia" w:ascii="Times New Roman" w:hAnsi="Times New Roman" w:eastAsia="仿宋" w:cs="Times New Roman"/>
          <w:sz w:val="32"/>
          <w:szCs w:val="32"/>
        </w:rPr>
        <w:t>会员各项服务工作。推进学习培训、</w:t>
      </w:r>
      <w:r>
        <w:rPr>
          <w:rFonts w:hint="eastAsia" w:eastAsia="仿宋" w:cs="Times New Roman"/>
          <w:sz w:val="32"/>
          <w:szCs w:val="32"/>
          <w:lang w:eastAsia="zh-CN"/>
        </w:rPr>
        <w:t>学术</w:t>
      </w:r>
      <w:r>
        <w:rPr>
          <w:rFonts w:hint="eastAsia" w:ascii="Times New Roman" w:hAnsi="Times New Roman" w:eastAsia="仿宋" w:cs="Times New Roman"/>
          <w:sz w:val="32"/>
          <w:szCs w:val="32"/>
        </w:rPr>
        <w:t>交流和</w:t>
      </w:r>
      <w:r>
        <w:rPr>
          <w:rFonts w:hint="eastAsia" w:eastAsia="仿宋" w:cs="Times New Roman"/>
          <w:sz w:val="32"/>
          <w:szCs w:val="32"/>
          <w:lang w:eastAsia="zh-CN"/>
        </w:rPr>
        <w:t>科普基地</w:t>
      </w:r>
      <w:r>
        <w:rPr>
          <w:rFonts w:hint="eastAsia" w:ascii="Times New Roman" w:hAnsi="Times New Roman" w:eastAsia="仿宋" w:cs="Times New Roman"/>
          <w:sz w:val="32"/>
          <w:szCs w:val="32"/>
        </w:rPr>
        <w:t>建设，积极做好</w:t>
      </w:r>
      <w:r>
        <w:rPr>
          <w:rFonts w:hint="eastAsia" w:eastAsia="仿宋" w:cs="Times New Roman"/>
          <w:sz w:val="32"/>
          <w:szCs w:val="32"/>
          <w:lang w:eastAsia="zh-CN"/>
        </w:rPr>
        <w:t>桥梁纽带作用为我县科技工作者服务</w:t>
      </w:r>
      <w:r>
        <w:rPr>
          <w:rFonts w:hint="eastAsia" w:ascii="Times New Roman" w:hAnsi="Times New Roman" w:eastAsia="仿宋" w:cs="Times New Roman"/>
          <w:sz w:val="32"/>
          <w:szCs w:val="32"/>
        </w:rPr>
        <w:t>。</w:t>
      </w:r>
    </w:p>
    <w:p>
      <w:pPr>
        <w:keepNext w:val="0"/>
        <w:keepLines w:val="0"/>
        <w:pageBreakBefore w:val="0"/>
        <w:widowControl w:val="0"/>
        <w:kinsoku/>
        <w:wordWrap/>
        <w:overflowPunct/>
        <w:topLinePunct w:val="0"/>
        <w:autoSpaceDE w:val="0"/>
        <w:autoSpaceDN w:val="0"/>
        <w:bidi w:val="0"/>
        <w:adjustRightInd w:val="0"/>
        <w:spacing w:line="560" w:lineRule="exact"/>
        <w:ind w:left="198" w:firstLine="602" w:firstLineChars="200"/>
        <w:jc w:val="left"/>
        <w:textAlignment w:val="auto"/>
        <w:rPr>
          <w:rFonts w:ascii="Times New Roman" w:hAnsi="Times New Roman" w:eastAsia="方正仿宋_GBK" w:cs="Times New Roman"/>
          <w:b/>
          <w:sz w:val="32"/>
          <w:szCs w:val="32"/>
        </w:rPr>
      </w:pPr>
      <w:r>
        <w:rPr>
          <w:rFonts w:hint="eastAsia" w:ascii="宋体" w:hAnsi="宋体" w:eastAsia="宋体" w:cs="宋体"/>
          <w:b/>
          <w:sz w:val="30"/>
          <w:szCs w:val="30"/>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9"/>
      <w:r>
        <w:rPr>
          <w:rFonts w:hint="eastAsia" w:ascii="Times New Roman" w:hAnsi="Times New Roman" w:eastAsia="方正仿宋_GBK" w:cs="Times New Roman"/>
          <w:b/>
          <w:sz w:val="32"/>
          <w:szCs w:val="32"/>
        </w:rPr>
        <w:instrText xml:space="preserve">分项绩效目标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绩效目标：开展科普宣传活动逐步壮大科普队伍和阵地建设，提升公民科学素质。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产出指标：科普活动不少于</w:t>
      </w:r>
      <w:r>
        <w:rPr>
          <w:rFonts w:hint="eastAsia" w:ascii="仿宋_GB2312" w:eastAsia="仿宋_GB2312"/>
          <w:sz w:val="32"/>
          <w:szCs w:val="32"/>
          <w:lang w:val="en-US" w:eastAsia="zh-CN"/>
        </w:rPr>
        <w:t>4次。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满意度指标：受众群体满意人数90%。</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（2）党建活动经费绩效目标情况</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绩效目标：提高机关党的建设质量，切实增强机关党组织的凝聚力和战斗力。党支部和党小组全年学习理论次数不少于12次。党员纳入管理数占党员总数的80%以上，机关党务人员配备率占机关党员人数的</w:t>
      </w:r>
      <w:r>
        <w:rPr>
          <w:rFonts w:hint="eastAsia" w:ascii="仿宋_GB2312" w:eastAsia="仿宋_GB2312" w:cs="DengXian-Regular"/>
          <w:sz w:val="32"/>
          <w:szCs w:val="32"/>
          <w:lang w:val="en-US" w:eastAsia="zh-CN"/>
        </w:rPr>
        <w:t>2</w:t>
      </w:r>
      <w:r>
        <w:rPr>
          <w:rFonts w:hint="eastAsia" w:ascii="仿宋_GB2312" w:hAnsi="Times New Roman" w:eastAsia="仿宋_GB2312" w:cs="DengXian-Regular"/>
          <w:sz w:val="32"/>
          <w:szCs w:val="32"/>
          <w:lang w:eastAsia="zh-CN"/>
        </w:rPr>
        <w:t>%。</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完成情况：圆满完成绩效目标任务，完成率100%。</w:t>
      </w:r>
    </w:p>
    <w:p>
      <w:pPr>
        <w:keepNext w:val="0"/>
        <w:keepLines w:val="0"/>
        <w:pageBreakBefore w:val="0"/>
        <w:widowControl w:val="0"/>
        <w:kinsoku/>
        <w:wordWrap/>
        <w:overflowPunct/>
        <w:topLinePunct w:val="0"/>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全年共实施</w:t>
      </w:r>
      <w:r>
        <w:rPr>
          <w:rFonts w:hint="eastAsia" w:ascii="仿宋_GB2312" w:eastAsia="仿宋_GB2312" w:cs="DengXian-Regular"/>
          <w:sz w:val="32"/>
          <w:szCs w:val="32"/>
          <w:lang w:val="en-US" w:eastAsia="zh-CN"/>
        </w:rPr>
        <w:t>3</w:t>
      </w:r>
      <w:r>
        <w:rPr>
          <w:rFonts w:hint="eastAsia" w:ascii="仿宋_GB2312" w:hAnsi="Times New Roman" w:eastAsia="仿宋_GB2312" w:cs="DengXian-Regular"/>
          <w:sz w:val="32"/>
          <w:szCs w:val="32"/>
          <w:lang w:val="en-US" w:eastAsia="zh-CN"/>
        </w:rPr>
        <w:t>个</w:t>
      </w:r>
      <w:r>
        <w:rPr>
          <w:rFonts w:hint="eastAsia" w:ascii="仿宋_GB2312" w:hAnsi="Times New Roman" w:eastAsia="仿宋_GB2312" w:cs="DengXian-Regular"/>
          <w:sz w:val="32"/>
          <w:szCs w:val="32"/>
          <w:lang w:eastAsia="zh-CN"/>
        </w:rPr>
        <w:t>项目（</w:t>
      </w:r>
      <w:r>
        <w:rPr>
          <w:rFonts w:hint="eastAsia" w:ascii="仿宋_GB2312" w:eastAsia="仿宋_GB2312" w:cs="DengXian-Regular"/>
          <w:sz w:val="32"/>
          <w:szCs w:val="32"/>
          <w:lang w:val="en-US" w:eastAsia="zh-CN"/>
        </w:rPr>
        <w:t>科普经费项目评价得分100分，</w:t>
      </w:r>
      <w:r>
        <w:rPr>
          <w:rFonts w:hint="eastAsia" w:ascii="仿宋_GB2312" w:eastAsia="仿宋_GB2312" w:cs="DengXian-Regular"/>
          <w:sz w:val="32"/>
          <w:szCs w:val="32"/>
          <w:lang w:eastAsia="zh-CN"/>
        </w:rPr>
        <w:t>科技工作者之家工作</w:t>
      </w:r>
      <w:bookmarkStart w:id="2" w:name="_GoBack"/>
      <w:bookmarkEnd w:id="2"/>
      <w:r>
        <w:rPr>
          <w:rFonts w:hint="eastAsia" w:ascii="仿宋_GB2312" w:hAnsi="Times New Roman" w:eastAsia="仿宋_GB2312" w:cs="DengXian-Regular"/>
          <w:sz w:val="32"/>
          <w:szCs w:val="32"/>
          <w:lang w:eastAsia="zh-CN"/>
        </w:rPr>
        <w:t>经费项目评价得分100分，</w:t>
      </w:r>
      <w:r>
        <w:rPr>
          <w:rFonts w:hint="eastAsia" w:ascii="仿宋_GB2312" w:eastAsia="仿宋_GB2312" w:cs="DengXian-Regular"/>
          <w:sz w:val="32"/>
          <w:szCs w:val="32"/>
          <w:lang w:eastAsia="zh-CN"/>
        </w:rPr>
        <w:t>老科协经费项目</w:t>
      </w:r>
      <w:r>
        <w:rPr>
          <w:rFonts w:hint="eastAsia" w:ascii="仿宋_GB2312" w:hAnsi="Times New Roman" w:eastAsia="仿宋_GB2312" w:cs="DengXian-Regular"/>
          <w:sz w:val="32"/>
          <w:szCs w:val="32"/>
          <w:lang w:eastAsia="zh-CN"/>
        </w:rPr>
        <w:t>评价得分100分），综合绩效评价得分100分，综合绩效评价等级为“优”。</w:t>
      </w:r>
    </w:p>
    <w:p>
      <w:pPr>
        <w:keepNext w:val="0"/>
        <w:keepLines w:val="0"/>
        <w:pageBreakBefore w:val="0"/>
        <w:widowControl w:val="0"/>
        <w:kinsoku/>
        <w:wordWrap/>
        <w:overflowPunct/>
        <w:topLinePunct w:val="0"/>
        <w:bidi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bidi w:val="0"/>
        <w:spacing w:line="560" w:lineRule="exact"/>
        <w:ind w:firstLine="643" w:firstLineChars="200"/>
        <w:textAlignment w:val="auto"/>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从绩效自评结果来看，部门年初绩效目标设定质量较好，清晰明确，但有些存在一定片面性，具体的绩效指标设定不够全面完整、科学合理，可操作性不强，绩效标准也不够恰当适宜，评价难以用客观数据显示，主要原因是有些项目的不确定性，造成绩效指标难以用数据准确表达，难以精准的体现社会效益和经济效益。</w:t>
      </w:r>
    </w:p>
    <w:p>
      <w:pPr>
        <w:keepNext w:val="0"/>
        <w:keepLines w:val="0"/>
        <w:pageBreakBefore w:val="0"/>
        <w:widowControl w:val="0"/>
        <w:numPr>
          <w:ilvl w:val="0"/>
          <w:numId w:val="3"/>
        </w:numPr>
        <w:kinsoku/>
        <w:wordWrap/>
        <w:overflowPunct/>
        <w:topLinePunct w:val="0"/>
        <w:bidi w:val="0"/>
        <w:spacing w:line="560" w:lineRule="exact"/>
        <w:ind w:left="0" w:leftChars="0" w:firstLine="643" w:firstLineChars="200"/>
        <w:textAlignment w:val="auto"/>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改进措施：一是加强预算执行的计划性，提高部门支出进度的均衡程度。二是加强对项目预算资金支出的监督检查工作，确保资金使用合法合规。三是加强对财务人员的培训工作，同时及时了解存在的问题，有疑问事项及时与财政等部门沟通解决，提高财务管理工作的规范性。四是加强项目资金和绩效目标指标的动态管理，持续改进。加大对单位预算项目管理工作的指导力度，及时了解项目情况，推进各预算单位工作任务的及时完成。</w:t>
      </w:r>
    </w:p>
    <w:p>
      <w:pPr>
        <w:pStyle w:val="2"/>
        <w:keepNext w:val="0"/>
        <w:keepLines w:val="0"/>
        <w:pageBreakBefore w:val="0"/>
        <w:widowControl w:val="0"/>
        <w:numPr>
          <w:ilvl w:val="0"/>
          <w:numId w:val="0"/>
        </w:numPr>
        <w:kinsoku/>
        <w:wordWrap/>
        <w:overflowPunct/>
        <w:topLinePunct w:val="0"/>
        <w:bidi w:val="0"/>
        <w:spacing w:line="560" w:lineRule="exact"/>
        <w:ind w:leftChars="200"/>
        <w:textAlignment w:val="auto"/>
      </w:pPr>
    </w:p>
    <w:p>
      <w:pPr>
        <w:keepNext w:val="0"/>
        <w:keepLines w:val="0"/>
        <w:pageBreakBefore w:val="0"/>
        <w:widowControl w:val="0"/>
        <w:numPr>
          <w:ilvl w:val="0"/>
          <w:numId w:val="4"/>
        </w:numPr>
        <w:kinsoku/>
        <w:wordWrap/>
        <w:overflowPunct/>
        <w:topLinePunct w:val="0"/>
        <w:bidi w:val="0"/>
        <w:adjustRightInd w:val="0"/>
        <w:snapToGrid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评价工作组人员名单及签字</w:t>
      </w:r>
    </w:p>
    <w:p>
      <w:pPr>
        <w:keepNext w:val="0"/>
        <w:keepLines w:val="0"/>
        <w:pageBreakBefore w:val="0"/>
        <w:widowControl w:val="0"/>
        <w:numPr>
          <w:ilvl w:val="0"/>
          <w:numId w:val="0"/>
        </w:numPr>
        <w:kinsoku/>
        <w:wordWrap/>
        <w:overflowPunct/>
        <w:topLinePunct w:val="0"/>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560" w:lineRule="exact"/>
        <w:ind w:firstLine="640" w:firstLineChars="200"/>
        <w:textAlignment w:val="auto"/>
        <w:rPr>
          <w:rFonts w:hint="eastAsia"/>
          <w:lang w:val="en-US" w:eastAsia="zh-CN"/>
        </w:rPr>
      </w:pPr>
      <w:r>
        <w:rPr>
          <w:rFonts w:hint="eastAsia" w:ascii="仿宋_GB2312" w:eastAsia="仿宋_GB2312"/>
          <w:sz w:val="32"/>
          <w:szCs w:val="32"/>
          <w:lang w:val="en-US" w:eastAsia="zh-CN"/>
        </w:rPr>
        <w:t>孙运良   科协主席</w:t>
      </w:r>
    </w:p>
    <w:p>
      <w:pPr>
        <w:keepNext w:val="0"/>
        <w:keepLines w:val="0"/>
        <w:pageBreakBefore w:val="0"/>
        <w:widowControl w:val="0"/>
        <w:numPr>
          <w:ilvl w:val="0"/>
          <w:numId w:val="0"/>
        </w:numPr>
        <w:kinsoku/>
        <w:wordWrap/>
        <w:overflowPunct/>
        <w:topLinePunct w:val="0"/>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孙胜永   科协副主席</w:t>
      </w:r>
    </w:p>
    <w:p>
      <w:pPr>
        <w:keepNext w:val="0"/>
        <w:keepLines w:val="0"/>
        <w:pageBreakBefore w:val="0"/>
        <w:widowControl w:val="0"/>
        <w:numPr>
          <w:ilvl w:val="0"/>
          <w:numId w:val="0"/>
        </w:numPr>
        <w:kinsoku/>
        <w:wordWrap/>
        <w:overflowPunct/>
        <w:topLinePunct w:val="0"/>
        <w:bidi w:val="0"/>
        <w:adjustRightInd w:val="0"/>
        <w:snapToGrid w:val="0"/>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张立飞   科协办公室主任</w:t>
      </w:r>
    </w:p>
    <w:p>
      <w:pPr>
        <w:keepNext w:val="0"/>
        <w:keepLines w:val="0"/>
        <w:pageBreakBefore w:val="0"/>
        <w:widowControl w:val="0"/>
        <w:kinsoku/>
        <w:wordWrap/>
        <w:overflowPunct/>
        <w:topLinePunct w:val="0"/>
        <w:bidi w:val="0"/>
        <w:adjustRightInd w:val="0"/>
        <w:snapToGrid w:val="0"/>
        <w:spacing w:line="560" w:lineRule="exact"/>
        <w:ind w:firstLine="640" w:firstLineChars="200"/>
        <w:textAlignment w:val="auto"/>
        <w:rPr>
          <w:rFonts w:hint="default" w:ascii="仿宋_GB2312" w:eastAsia="仿宋_GB2312"/>
          <w:sz w:val="32"/>
          <w:szCs w:val="32"/>
          <w:lang w:val="en-US" w:eastAsia="zh-CN"/>
        </w:rPr>
      </w:pPr>
    </w:p>
    <w:p>
      <w:pPr>
        <w:pStyle w:val="2"/>
        <w:keepNext w:val="0"/>
        <w:keepLines w:val="0"/>
        <w:pageBreakBefore w:val="0"/>
        <w:widowControl w:val="0"/>
        <w:numPr>
          <w:ilvl w:val="0"/>
          <w:numId w:val="0"/>
        </w:numPr>
        <w:kinsoku/>
        <w:wordWrap/>
        <w:overflowPunct/>
        <w:topLinePunct w:val="0"/>
        <w:bidi w:val="0"/>
        <w:spacing w:line="560" w:lineRule="exact"/>
        <w:textAlignment w:val="auto"/>
      </w:pPr>
    </w:p>
    <w:p>
      <w:pPr>
        <w:keepNext w:val="0"/>
        <w:keepLines w:val="0"/>
        <w:pageBreakBefore w:val="0"/>
        <w:widowControl w:val="0"/>
        <w:kinsoku/>
        <w:wordWrap/>
        <w:overflowPunct/>
        <w:topLinePunct w:val="0"/>
        <w:bidi w:val="0"/>
        <w:spacing w:line="560" w:lineRule="exact"/>
        <w:textAlignment w:val="auto"/>
        <w:rPr>
          <w:rFonts w:hint="eastAsia" w:ascii="黑体" w:hAnsi="黑体" w:eastAsia="黑体"/>
          <w:sz w:val="32"/>
          <w:szCs w:val="32"/>
        </w:rPr>
      </w:pPr>
    </w:p>
    <w:p>
      <w:pPr>
        <w:keepNext w:val="0"/>
        <w:keepLines w:val="0"/>
        <w:pageBreakBefore w:val="0"/>
        <w:widowControl w:val="0"/>
        <w:kinsoku/>
        <w:wordWrap/>
        <w:overflowPunct/>
        <w:topLinePunct w:val="0"/>
        <w:bidi w:val="0"/>
        <w:spacing w:line="56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39FF153-3BC4-42CC-B6B3-78598C9B44C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embedRegular r:id="rId2" w:fontKey="{81EF5808-36E3-4A68-BE4D-BBEE2727C905}"/>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3" w:fontKey="{ECC43E27-DEC8-4722-893D-525565CDDA1D}"/>
  </w:font>
  <w:font w:name="仿宋_GB2312">
    <w:altName w:val="仿宋"/>
    <w:panose1 w:val="02010609030101010101"/>
    <w:charset w:val="86"/>
    <w:family w:val="modern"/>
    <w:pitch w:val="default"/>
    <w:sig w:usb0="00000000" w:usb1="00000000" w:usb2="00000000" w:usb3="00000000" w:csb0="00040000" w:csb1="00000000"/>
    <w:embedRegular r:id="rId4" w:fontKey="{DAA011E9-03B7-489A-A1A4-1765770E74B9}"/>
  </w:font>
  <w:font w:name="仿宋">
    <w:panose1 w:val="02010609060101010101"/>
    <w:charset w:val="86"/>
    <w:family w:val="auto"/>
    <w:pitch w:val="default"/>
    <w:sig w:usb0="800002BF" w:usb1="38CF7CFA" w:usb2="00000016" w:usb3="00000000" w:csb0="00040001" w:csb1="00000000"/>
    <w:embedRegular r:id="rId5" w:fontKey="{F07E9824-93A0-4131-BDEB-558A4D2F6A35}"/>
  </w:font>
  <w:font w:name="华文楷体">
    <w:panose1 w:val="02010600040101010101"/>
    <w:charset w:val="86"/>
    <w:family w:val="auto"/>
    <w:pitch w:val="default"/>
    <w:sig w:usb0="00000287" w:usb1="080F0000" w:usb2="00000000" w:usb3="00000000" w:csb0="0004009F" w:csb1="DFD70000"/>
    <w:embedRegular r:id="rId6" w:fontKey="{0A23E73E-16FA-4AF2-B199-8393D80F492D}"/>
  </w:font>
  <w:font w:name="楷体_GB2312">
    <w:altName w:val="楷体"/>
    <w:panose1 w:val="02010609030101010101"/>
    <w:charset w:val="86"/>
    <w:family w:val="auto"/>
    <w:pitch w:val="default"/>
    <w:sig w:usb0="00000000" w:usb1="00000000" w:usb2="00000000" w:usb3="00000000" w:csb0="00040000" w:csb1="00000000"/>
    <w:embedRegular r:id="rId7" w:fontKey="{61BC5B75-EDC0-4421-93AF-F1214B915EB7}"/>
  </w:font>
  <w:font w:name="楷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embedRegular r:id="rId8" w:fontKey="{FC433E48-97B7-4868-8AA1-DC12913477B7}"/>
  </w:font>
  <w:font w:name="方正小标宋_GBK">
    <w:panose1 w:val="02000000000000000000"/>
    <w:charset w:val="86"/>
    <w:family w:val="auto"/>
    <w:pitch w:val="default"/>
    <w:sig w:usb0="A00002BF" w:usb1="38CF7CFA" w:usb2="00082016" w:usb3="00000000" w:csb0="00040001" w:csb1="00000000"/>
    <w:embedRegular r:id="rId9" w:fontKey="{50BBECCC-01C7-42BD-90B1-146FBC6F8C89}"/>
  </w:font>
  <w:font w:name="DengXian-Regular">
    <w:altName w:val="hakuyoxingshu7000"/>
    <w:panose1 w:val="00000000000000000000"/>
    <w:charset w:val="00"/>
    <w:family w:val="auto"/>
    <w:pitch w:val="default"/>
    <w:sig w:usb0="00000000" w:usb1="00000000" w:usb2="00000010" w:usb3="00000000" w:csb0="00040001" w:csb1="00000000"/>
    <w:embedRegular r:id="rId10" w:fontKey="{BC664756-BEAF-40FD-96D6-6DE30A91A654}"/>
  </w:font>
  <w:font w:name="hakuyoxingshu7000">
    <w:panose1 w:val="02000600000000000000"/>
    <w:charset w:val="86"/>
    <w:family w:val="auto"/>
    <w:pitch w:val="default"/>
    <w:sig w:usb0="FFFFFFFF" w:usb1="E9FFFFFF" w:usb2="0000003F" w:usb3="00000000" w:csb0="603F00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B63EB1"/>
    <w:multiLevelType w:val="singleLevel"/>
    <w:tmpl w:val="A5B63EB1"/>
    <w:lvl w:ilvl="0" w:tentative="0">
      <w:start w:val="2"/>
      <w:numFmt w:val="chineseCounting"/>
      <w:suff w:val="nothing"/>
      <w:lvlText w:val="（%1）"/>
      <w:lvlJc w:val="left"/>
      <w:rPr>
        <w:rFonts w:hint="eastAsia"/>
      </w:rPr>
    </w:lvl>
  </w:abstractNum>
  <w:abstractNum w:abstractNumId="1">
    <w:nsid w:val="B3FD47E5"/>
    <w:multiLevelType w:val="singleLevel"/>
    <w:tmpl w:val="B3FD47E5"/>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7034E20A"/>
    <w:multiLevelType w:val="singleLevel"/>
    <w:tmpl w:val="7034E20A"/>
    <w:lvl w:ilvl="0" w:tentative="0">
      <w:start w:val="6"/>
      <w:numFmt w:val="chineseCounting"/>
      <w:suff w:val="nothing"/>
      <w:lvlText w:val="%1、"/>
      <w:lvlJc w:val="left"/>
      <w:rPr>
        <w:rFonts w:hint="eastAsi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wODY1MDVlNDU0NDZmY2JkOWM2YmViMzUzMGI5ZTIifQ=="/>
  </w:docVars>
  <w:rsids>
    <w:rsidRoot w:val="6D775AEB"/>
    <w:rsid w:val="0AB31D8D"/>
    <w:rsid w:val="1A635C15"/>
    <w:rsid w:val="2C8D0544"/>
    <w:rsid w:val="2F1F65E1"/>
    <w:rsid w:val="3E0968B8"/>
    <w:rsid w:val="504A40DB"/>
    <w:rsid w:val="597741C1"/>
    <w:rsid w:val="5E95659C"/>
    <w:rsid w:val="6B2352A9"/>
    <w:rsid w:val="6D775AEB"/>
    <w:rsid w:val="710D08C9"/>
    <w:rsid w:val="7CF33F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index 9"/>
    <w:basedOn w:val="1"/>
    <w:next w:val="1"/>
    <w:qFormat/>
    <w:uiPriority w:val="0"/>
    <w:pPr>
      <w:ind w:left="3360"/>
      <w:jc w:val="left"/>
    </w:pPr>
  </w:style>
  <w:style w:type="paragraph" w:customStyle="1" w:styleId="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character" w:customStyle="1" w:styleId="9">
    <w:name w:val="fontstyle01"/>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1794</Words>
  <Characters>1848</Characters>
  <Lines>0</Lines>
  <Paragraphs>0</Paragraphs>
  <TotalTime>12</TotalTime>
  <ScaleCrop>false</ScaleCrop>
  <LinksUpToDate>false</LinksUpToDate>
  <CharactersWithSpaces>1864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2022-05-13T03:33:00Z</dcterms:created>
  <dc:creator>Bobo</dc:creator>
  <cp:lastModifiedBy>Administrator</cp:lastModifiedBy>
  <dcterms:modified xsi:type="dcterms:W3CDTF">2025-05-26T07:26:21Z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FFD0588598694F79A926E6CE4F01BC19</vt:lpwstr>
  </property>
</Properties>
</file>