
<file path=[Content_Types].xml><?xml version="1.0" encoding="utf-8"?>
<Types xmlns="http://schemas.openxmlformats.org/package/2006/content-types">
  <Default ContentType="image/jpeg" Extension="jpeg"/>
  <Default ContentType="image/.jpg" Extension="jpg"/>
  <Default ContentType="application/vnd.openxmlformats-package.relationships+xml" Extension="rels"/>
  <Default ContentType="application/vnd.openxmlformats-officedocument.spreadsheetml.sheet" Extension="xlsx"/>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3.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6.xml"/>
  <Override ContentType="application/vnd.ms-office.chartcolorstyle+xml" PartName="/word/charts/colors1.xml"/>
  <Override ContentType="application/vnd.ms-office.chartcolorstyle+xml" PartName="/word/charts/colors2.xml"/>
  <Override ContentType="application/vnd.ms-office.chartcolorstyle+xml" PartName="/word/charts/colors3.xml"/>
  <Override ContentType="application/vnd.ms-office.chartcolorstyle+xml" PartName="/word/charts/colors4.xml"/>
  <Override ContentType="application/vnd.ms-office.chartcolorstyle+xml" PartName="/word/charts/colors5.xml"/>
  <Override ContentType="application/vnd.ms-office.chartcolorstyle+xml" PartName="/word/charts/colors6.xml"/>
  <Override ContentType="application/vnd.ms-office.chartstyle+xml" PartName="/word/charts/style1.xml"/>
  <Override ContentType="application/vnd.ms-office.chartstyle+xml" PartName="/word/charts/style2.xml"/>
  <Override ContentType="application/vnd.ms-office.chartstyle+xml" PartName="/word/charts/style3.xml"/>
  <Override ContentType="application/vnd.ms-office.chartstyle+xml" PartName="/word/charts/style4.xml"/>
  <Override ContentType="application/vnd.ms-office.chartstyle+xml" PartName="/word/charts/style5.xml"/>
  <Override ContentType="application/vnd.ms-office.chartstyle+xml" PartName="/word/charts/style6.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obfuscatedFont" PartName="/word/fonts/font9.odttf"/>
  <Override ContentType="application/vnd.openxmlformats-officedocument.wordprocessingml.fontTable+xml" PartName="/word/fontTable.xml"/>
  <Override ContentType="application/vnd.openxmlformats-officedocument.wordprocessingml.footer+xml" PartName="/word/footer.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header+xml" PartName="/word/header.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mc:Ignorable="w14 w15 wp14">
  <w:body>
    <!-- Created by docx4j 8.3.14 (Apache licensed) using REFERENCE JAXB in Oracle Java 1.8.0_211 on Linux -->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false" relativeHeight="251659264" behindDoc="true" locked="false" layoutInCell="true" allowOverlap="true">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noChangeAspect="true"/>
            </wp:cNvGraphicFramePr>
            <a:graphic>
              <a:graphicData uri="http://schemas.openxmlformats.org/drawingml/2006/picture">
                <pic:pic>
                  <pic:nvPicPr>
                    <pic:cNvPr id="15" name="图片 15" descr="7b0a202020202266696c746572223a202230220a7d0a"/>
                    <pic:cNvPicPr>
                      <a:picLocks noChangeAspect="true"/>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false" relativeHeight="251660288" behindDoc="false" locked="false" layoutInCell="true" allowOverlap="true">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a:ext uri="{7FBC4E63-A832-4D11-8238-D91031DB1400}">
                      <s:tag xmlns:s="http://www.wps.cn/officeDocument/2013/wpsCustomData" xmlns="http://www.wps.cn/officeDocument/2013/wpsCustomData" xmlns:wpi="http://schemas.microsoft.com/office/word/2010/wordprocessingInk" xmlns:wpsCustomData="http://www.wps.cn/officeDocument/2013/wpsCustomData">
                        <s:item wpsCustomData:name="KSO_DOCER_RESOURCE_TRACE_INFO" wpsCustomData:val="{&quot;id&quot;:&quot;&quot;,&quot;origin&quot;:0,&quot;type&quot;:&quot;wordart&quot;,&quot;user&quot;:&quot;292216292&quot;}"/>
                      </s:tag>
                    </a:ext>
                  </a:extLst>
                </wp:cNvGraphicFramePr>
                <a:graphic>
                  <a:graphicData uri="http://schemas.microsoft.com/office/word/2010/wordprocessingShape">
                    <wps:wsp>
                      <wps:cNvSpPr txBox="true"/>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true"/>
                    </wps:wsp>
                  </a:graphicData>
                </a:graphic>
              </wp:anchor>
            </w:drawing>
          </mc:Choice>
          <mc:Fallback>
            <w:pict>
              <v:shape o:gfxdata="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" type="#_x0000_t202" alt="7b0a2020202022776f7264617274223a20227b5c2269645c223a32353030323136362c5c227469645c223a5c225c227d220a7d0a" coordsize="21600,21600" style="position:absolute;left:0pt;margin-left:-43.05pt;margin-top:19.95pt;height:225.4pt;width:506.4pt;z-index:251660288;mso-width-relative:page;mso-height-relative:page;" id="_x0000_s1026" o:spid="_x0000_s1026" stroked="f" filled="f" o:spt="202.0">
                <v:fill on="f" focussize="0,0"/>
                <v:stroke on="f"/>
                <v:imagedata o:title=""/>
                <o:lock aspectratio="f" v:ext="edit"/>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
        <w:t>预算代码</w:t>
      </w:r>
      <w:r>
        <w:rPr>
          <w:rFonts w:hint="eastAsia" w:ascii="楷体_GB2312" w:hAnsi="楷体_GB2312" w:eastAsia="楷体_GB2312" w:cs="楷体_GB2312"/>
          <w:color w:val="000000"/>
          <w:sz w:val="40"/>
          <w:szCs w:val="40"/>
        </w:rPr>
        <w:t/>
        <w:t>：</w:t>
      </w:r>
      <w:r>
        <w:rPr>
          <w:rFonts w:hint="eastAsia" w:ascii="楷体_GB2312" w:hAnsi="楷体_GB2312" w:eastAsia="楷体_GB2312" w:cs="楷体_GB2312"/>
          <w:color w:val="000000"/>
          <w:sz w:val="40"/>
          <w:szCs w:val="40"/>
          <w:lang w:val="en-US" w:eastAsia="zh-CN"/>
        </w:rPr>
        <w:t/>
        <w:t>819</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
        <w:t>单位名称</w:t>
      </w:r>
      <w:r>
        <w:rPr>
          <w:rFonts w:hint="eastAsia" w:ascii="楷体_GB2312" w:hAnsi="楷体_GB2312" w:eastAsia="楷体_GB2312" w:cs="楷体_GB2312"/>
          <w:color w:val="000000"/>
          <w:sz w:val="40"/>
          <w:szCs w:val="40"/>
        </w:rPr>
        <w:t/>
        <w:t>：元氏县北褚镇人民政府</w:t>
      </w:r>
    </w:p>
    <w:p w14:paraId="2595C946">
      <w:pPr>
        <w:spacing w:line="600" w:lineRule="auto"/>
        <w:jc w:val="both"/>
        <w:rPr>
          <w:rFonts w:hint="eastAsia" w:ascii="楷体_GB2312" w:hAnsi="楷体_GB2312" w:eastAsia="楷体_GB2312" w:cs="楷体_GB2312"/>
          <w:color w:val="000000"/>
          <w:sz w:val="40"/>
          <w:szCs w:val="40"/>
        </w:rPr>
        <w:sectPr>
          <w:footerReference w:type="default" r:id="rId3"/>
          <w:footerReference w:type="default" r:id="rId21"/>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方正小标宋_GBK"/>
          <w:b w:val="false"/>
          <w:sz w:val="72"/>
          <w:szCs w:val="72"/>
        </w:rPr>
        <w:t>元氏县北褚镇人民政府</w:t>
      </w:r>
    </w:p>
    <w:p>
      <w:pPr>
        <w:widowControl w:val="true"/>
        <w:spacing w:before="0" w:beforeLines="0" w:beforeAutospacing="false" w:after="0" w:afterLines="0" w:afterAutospacing="false" w:line="360" w:lineRule="auto"/>
        <w:ind/>
        <w:jc w:val="center"/>
        <w:rPr>
          <w:rFonts w:ascii="Times New Roman" w:eastAsia="方正小标宋_GBK"/>
          <w:sz w:val="72"/>
          <w:szCs w:val="72"/>
        </w:rPr>
      </w:pPr>
      <w:r>
        <w:rPr>
          <w:rFonts w:ascii="Times New Roman" w:eastAsia="仿宋_GB2312"/>
          <w:b w:val="false"/>
          <w:sz w:val="72"/>
          <w:szCs w:val="72"/>
        </w:rPr>
        <w:t>2024</w:t>
      </w:r>
      <w:r>
        <w:rPr>
          <w:rFonts w:ascii="Times New Roman" w:eastAsia="方正小标宋_GBK"/>
          <w:b w:val="false"/>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元氏县北褚镇人民政府</w:t>
      </w:r>
      <w:r>
        <w:rPr>
          <w:rFonts w:ascii="Times New Roman" w:eastAsia="楷体_GB2312"/>
          <w:b w:val="false"/>
          <w:sz w:val="44"/>
          <w:szCs w:val="44"/>
        </w:rPr>
        <w:t>(单位名称，加盖公章）</w:t>
      </w:r>
    </w:p>
    <w:p>
      <w:pPr>
        <w:widowControl w:val="true"/>
        <w:spacing w:before="0" w:beforeLines="0" w:beforeAutospacing="false" w:after="0" w:afterLines="0" w:afterAutospacing="false" w:line="360" w:lineRule="auto"/>
        <w:ind/>
        <w:jc w:val="center"/>
        <w:rPr>
          <w:rFonts w:ascii="Times New Roman" w:eastAsia="楷体_GB2312"/>
          <w:sz w:val="44"/>
          <w:szCs w:val="44"/>
        </w:rPr>
      </w:pPr>
      <w:r>
        <w:rPr>
          <w:rFonts w:ascii="Times New Roman" w:eastAsia="楷体_GB2312"/>
          <w:b w:val="false"/>
          <w:sz w:val="44"/>
          <w:szCs w:val="44"/>
        </w:rPr>
        <w:t>二〇二五年</w:t>
      </w:r>
      <w:r>
        <w:rPr>
          <w:rFonts w:ascii="Times New Roman" w:eastAsia="楷体_GB2312"/>
          <w:b w:val="false"/>
          <w:sz w:val="44"/>
          <w:szCs w:val="44"/>
        </w:rPr>
        <w:t>八</w:t>
      </w:r>
      <w:r>
        <w:rPr>
          <w:rFonts w:ascii="Times New Roman" w:eastAsia="楷体_GB2312"/>
          <w:b w:val="false"/>
          <w:sz w:val="44"/>
          <w:szCs w:val="44"/>
        </w:rPr>
        <w:t>月</w:t>
      </w:r>
    </w:p>
    <w:p w14:paraId="0350B668">
      <w:pPr>
        <w:snapToGrid w:val="false"/>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false"/>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第一部分 </w:t>
      </w:r>
      <w:r>
        <w:rPr>
          <w:rFonts w:ascii="Times New Roman" w:eastAsia="黑体"/>
          <w:b w:val="false"/>
          <w:sz w:val="32"/>
          <w:szCs w:val="32"/>
        </w:rPr>
        <w:t>部门</w:t>
      </w:r>
      <w:r>
        <w:rPr>
          <w:rFonts w:ascii="Times New Roman" w:eastAsia="黑体"/>
          <w:b w:val="false"/>
          <w:sz w:val="32"/>
          <w:szCs w:val="32"/>
        </w:rPr>
        <w:t>概况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w:t>
      </w:r>
      <w:r>
        <w:rPr>
          <w:rFonts w:ascii="Times New Roman" w:eastAsia="仿宋_GB2312"/>
          <w:b w:val="false"/>
          <w:sz w:val="32"/>
          <w:szCs w:val="32"/>
        </w:rPr>
        <w:t>部门</w:t>
      </w:r>
      <w:r>
        <w:rPr>
          <w:rFonts w:ascii="Times New Roman" w:eastAsia="仿宋_GB2312"/>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二、机构设置</w:t>
      </w:r>
    </w:p>
    <w:p>
      <w:pPr>
        <w:widowControl w:val="true"/>
        <w:spacing w:before="0" w:beforeLines="0" w:beforeAutospacing="false" w:after="0" w:afterLines="0" w:afterAutospacing="false" w:line="360" w:lineRule="auto"/>
        <w:ind/>
        <w:jc w:val="left"/>
        <w:outlineLvl w:val="0"/>
        <w:rPr>
          <w:rFonts w:ascii="Times New Roman" w:eastAsia="黑体"/>
          <w:sz w:val="32"/>
          <w:szCs w:val="32"/>
        </w:rPr>
      </w:pPr>
      <w:r>
        <w:rPr>
          <w:rFonts w:ascii="Times New Roman" w:eastAsia="黑体"/>
          <w:b w:val="false"/>
          <w:sz w:val="32"/>
          <w:szCs w:val="32"/>
        </w:rPr>
        <w:t>第二部分 2024年度部门决算报表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五、一般公共预算财政拨款支出决算表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六、一般公共预算财政拨款基本支出决算明细表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七、政府性基金预算财政拨款收入支出决算表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八、国有资本经营预算财政拨款支出决算表</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九、财政拨款“三公”经费支出决算表</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第三部分 2024年度部门决算情况说明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五、财政拨款“三公”经费支出决算情况说明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九、关于</w:t>
      </w:r>
      <w:r>
        <w:rPr>
          <w:rFonts w:ascii="Times New Roman" w:eastAsia="仿宋_GB2312"/>
          <w:b w:val="false"/>
          <w:sz w:val="32"/>
          <w:szCs w:val="32"/>
        </w:rPr>
        <w:t>2024</w:t>
      </w:r>
      <w:r>
        <w:rPr>
          <w:rFonts w:ascii="Times New Roman" w:eastAsia="仿宋_GB2312"/>
          <w:b w:val="false"/>
          <w:sz w:val="32"/>
          <w:szCs w:val="32"/>
        </w:rPr>
        <w:t>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十、其他需要说明的情况</w:t>
      </w:r>
    </w:p>
    <w:p>
      <w:pPr>
        <w:widowControl w:val="true"/>
        <w:spacing w:before="0" w:beforeLines="0" w:beforeAutospacing="false" w:after="0" w:afterLines="0" w:afterAutospacing="false" w:line="360" w:lineRule="auto"/>
        <w:ind/>
        <w:jc w:val="left"/>
        <w:rPr>
          <w:rFonts w:ascii="Times New Roman" w:eastAsia="黑体"/>
          <w:sz w:val="32"/>
          <w:szCs w:val="32"/>
        </w:rPr>
      </w:pPr>
      <w:r>
        <w:rPr>
          <w:rFonts w:ascii="Times New Roman" w:eastAsia="黑体"/>
          <w:b w:val="false"/>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w:type="first" r:id="rId5"/>
          <w:footerReference w:type="first" r:id="rId7"/>
          <w:headerReference w:type="default" r:id="rId4"/>
          <w:footerReference w:type="default" r:id="rId6"/>
          <w:footerReference w:type="default" r:id="rId21"/>
          <w:pgSz w:w="11906" w:h="16838"/>
          <w:pgMar w:top="1474" w:right="1531" w:bottom="1474" w:left="1531" w:header="851" w:footer="992" w:gutter="0"/>
          <w:pgBorders>
            <w:top w:val="none" w:sz="0" w:space="0"/>
            <w:left w:val="none" w:sz="0" w:space="0"/>
            <w:bottom w:val="none" w:sz="0" w:space="0"/>
            <w:right w:val="none" w:sz="0" w:space="0"/>
          </w:pgBorders>
          <w:pgNumType/>
          <w:cols w:space="0" w:num="1"/>
          <w:titlePg/>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第一部分 </w:t>
      </w:r>
      <w:r>
        <w:rPr>
          <w:rFonts w:ascii="Times New Roman" w:eastAsia="黑体"/>
          <w:b w:val="false"/>
          <w:sz w:val="44"/>
          <w:szCs w:val="44"/>
        </w:rPr>
        <w:t>部门</w:t>
      </w:r>
      <w:r>
        <w:rPr>
          <w:rFonts w:ascii="Times New Roman" w:eastAsia="黑体"/>
          <w:b w:val="false"/>
          <w:sz w:val="44"/>
          <w:szCs w:val="44"/>
        </w:rPr>
        <w:t>概况</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w:t>
      </w:r>
      <w:r>
        <w:rPr>
          <w:rFonts w:ascii="Times New Roman" w:eastAsia="黑体"/>
          <w:b w:val="false"/>
          <w:sz w:val="32"/>
          <w:szCs w:val="32"/>
        </w:rPr>
        <w:t>部门</w:t>
      </w:r>
      <w:r>
        <w:rPr>
          <w:rFonts w:ascii="Times New Roman" w:eastAsia="黑体"/>
          <w:b w:val="false"/>
          <w:sz w:val="32"/>
          <w:szCs w:val="32"/>
        </w:rPr>
        <w:t>职责</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二、机构设置</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从决算编报单位构成看，纳入</w:t>
      </w:r>
      <w:r>
        <w:rPr>
          <w:rFonts w:ascii="Times New Roman" w:eastAsia="仿宋_GB2312"/>
          <w:b w:val="false"/>
          <w:sz w:val="32"/>
          <w:szCs w:val="32"/>
        </w:rPr>
        <w:t>2024</w:t>
      </w:r>
      <w:r>
        <w:rPr>
          <w:rFonts w:ascii="Times New Roman" w:eastAsia="仿宋_GB2312"/>
          <w:b w:val="false"/>
          <w:sz w:val="32"/>
          <w:szCs w:val="32"/>
        </w:rPr>
        <w:t>年度本部门决算汇编范围的独立核算单位（以下简称“单位”）共 </w:t>
      </w:r>
      <w:r>
        <w:rPr>
          <w:rFonts w:ascii="Times New Roman" w:eastAsia="仿宋_GB2312"/>
          <w:b w:val="false"/>
          <w:sz w:val="32"/>
          <w:szCs w:val="32"/>
        </w:rPr>
        <w:t/>
      </w:r>
      <w:r>
        <w:rPr>
          <w:rFonts w:ascii="Times New Roman" w:eastAsia="仿宋_GB2312"/>
          <w:b w:val="false"/>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
              <w:t>经费形式</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第二部分 </w:t>
      </w:r>
      <w:r>
        <w:rPr>
          <w:rFonts w:ascii="Times New Roman" w:eastAsia="仿宋_GB2312"/>
          <w:b w:val="false"/>
          <w:sz w:val="44"/>
          <w:szCs w:val="44"/>
        </w:rPr>
        <w:t>2024</w:t>
      </w:r>
      <w:r>
        <w:rPr>
          <w:rFonts w:ascii="Times New Roman" w:eastAsia="黑体"/>
          <w:b w:val="false"/>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公开</w:t>
            </w:r>
            <w:r>
              <w:rPr>
                <w:rFonts w:hint="eastAsia" w:ascii="Times New Roman" w:hAnsi="Times New Roman" w:eastAsia="宋体" w:cs="Times New Roman"/>
                <w:i w:val="false"/>
                <w:iCs w:val="false"/>
                <w:color w:val="000000"/>
                <w:sz w:val="20"/>
                <w:szCs w:val="20"/>
                <w:highlight w:val="none"/>
                <w:u w:val="none"/>
                <w:lang w:val="en-US" w:eastAsia="zh-CN"/>
              </w:rPr>
              <w:t/>
              <w:t>01</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部门（单位）：元氏县北褚镇人民政府</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false"/>
                <w:iCs w:val="false"/>
                <w:color w:val="000000"/>
                <w:kern w:val="0"/>
                <w:sz w:val="20"/>
                <w:szCs w:val="20"/>
                <w:highlight w:val="none"/>
                <w:u w:val="none"/>
                <w:lang w:val="en-US" w:eastAsia="zh-CN" w:bidi="ar"/>
              </w:rPr>
            </w:pPr>
            <w:r>
              <w:rPr>
                <w:rFonts w:hint="eastAsia" w:ascii="Times New Roman" w:hAnsi="Times New Roman" w:eastAsia="宋体" w:cs="Times New Roman"/>
                <w:i w:val="false"/>
                <w:iCs w:val="false"/>
                <w:color w:val="000000"/>
                <w:sz w:val="20"/>
                <w:szCs w:val="20"/>
                <w:highlight w:val="none"/>
                <w:u w:val="none"/>
                <w:lang w:val="en-US" w:eastAsia="zh-CN"/>
              </w:rPr>
              <w:t/>
              <w:t>2024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739721C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gridSpan w:val="2"/>
            <w:tcBorders>
              <w:top w:val="nil"/>
              <w:left w:val="nil"/>
              <w:bottom w:val="single" w:color="000000" w:sz="4" w:space="0"/>
              <w:right w:val="single" w:color="000000" w:sz="4" w:space="0"/>
            </w:tcBorders>
            <w:noWrap/>
            <w:vAlign w:val="center"/>
          </w:tcPr>
          <w:p w14:paraId="5A45B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7" w:type="pct"/>
            <w:tcBorders>
              <w:top w:val="nil"/>
              <w:left w:val="nil"/>
              <w:bottom w:val="single" w:color="000000" w:sz="4" w:space="0"/>
              <w:right w:val="single" w:color="000000" w:sz="4" w:space="0"/>
            </w:tcBorders>
            <w:noWrap/>
            <w:vAlign w:val="center"/>
          </w:tcPr>
          <w:p w14:paraId="0AB02734">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826" w:type="pct"/>
            <w:tcBorders>
              <w:top w:val="nil"/>
              <w:left w:val="nil"/>
              <w:bottom w:val="single" w:color="000000" w:sz="4" w:space="0"/>
              <w:right w:val="single" w:color="000000" w:sz="4" w:space="0"/>
            </w:tcBorders>
            <w:noWrap/>
            <w:vAlign w:val="center"/>
          </w:tcPr>
          <w:p w14:paraId="3D4173C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false"/>
                <w:iCs w:val="false"/>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1</w:t>
            </w:r>
          </w:p>
        </w:tc>
        <w:tc>
          <w:tcPr>
            <w:tcW w:w="1361" w:type="pct"/>
            <w:gridSpan w:val="2"/>
            <w:tcBorders>
              <w:top w:val="nil"/>
              <w:left w:val="nil"/>
              <w:bottom w:val="single" w:color="000000" w:sz="4" w:space="0"/>
              <w:right w:val="single" w:color="000000" w:sz="4" w:space="0"/>
            </w:tcBorders>
            <w:noWrap/>
            <w:vAlign w:val="center"/>
          </w:tcPr>
          <w:p w14:paraId="4F12A30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false"/>
                <w:iCs w:val="false"/>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Times New Roman" w:hAnsi="Times New Roman" w:eastAsia="宋体" w:cs="Times New Roman"/>
                <w:i w:val="false"/>
                <w:iCs w:val="false"/>
                <w:color w:val="000000"/>
                <w:sz w:val="20"/>
                <w:szCs w:val="20"/>
                <w:highlight w:val="none"/>
                <w:u w:val="none"/>
                <w:lang w:val="en-US" w:eastAsia="zh-CN"/>
              </w:rPr>
              <w:t/>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宋体" w:hAnsi="宋体" w:eastAsia="宋体" w:cs="宋体"/>
                <w:i w:val="false"/>
                <w:iCs w:val="false"/>
                <w:color w:val="000000"/>
                <w:sz w:val="20"/>
                <w:szCs w:val="20"/>
                <w:highlight w:val="none"/>
                <w:u w:val="none"/>
                <w:lang w:val="en-US" w:eastAsia="zh-CN"/>
              </w:rPr>
              <w:t/>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042D2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3A8769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7" w:type="pct"/>
            <w:tcBorders>
              <w:top w:val="nil"/>
              <w:left w:val="nil"/>
              <w:bottom w:val="single" w:color="000000" w:sz="4" w:space="0"/>
              <w:right w:val="single" w:color="000000" w:sz="4" w:space="0"/>
            </w:tcBorders>
            <w:noWrap/>
            <w:vAlign w:val="center"/>
          </w:tcPr>
          <w:p w14:paraId="3BFF2AE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21BBD0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7" w:type="pct"/>
            <w:tcBorders>
              <w:top w:val="nil"/>
              <w:left w:val="nil"/>
              <w:bottom w:val="single" w:color="000000" w:sz="4" w:space="0"/>
              <w:right w:val="single" w:color="000000" w:sz="4" w:space="0"/>
            </w:tcBorders>
            <w:noWrap/>
            <w:vAlign w:val="center"/>
          </w:tcPr>
          <w:p w14:paraId="6EB671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四、上级补助收入</w:t>
            </w:r>
          </w:p>
        </w:tc>
        <w:tc>
          <w:tcPr>
            <w:tcW w:w="267" w:type="pct"/>
            <w:tcBorders>
              <w:top w:val="nil"/>
              <w:left w:val="nil"/>
              <w:bottom w:val="single" w:color="000000" w:sz="4" w:space="0"/>
              <w:right w:val="single" w:color="000000" w:sz="4" w:space="0"/>
            </w:tcBorders>
            <w:noWrap/>
            <w:vAlign w:val="center"/>
          </w:tcPr>
          <w:p w14:paraId="6EF842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08B84F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7" w:type="pct"/>
            <w:tcBorders>
              <w:top w:val="nil"/>
              <w:left w:val="nil"/>
              <w:bottom w:val="single" w:color="000000" w:sz="4" w:space="0"/>
              <w:right w:val="single" w:color="000000" w:sz="4" w:space="0"/>
            </w:tcBorders>
            <w:noWrap/>
            <w:vAlign w:val="center"/>
          </w:tcPr>
          <w:p w14:paraId="26C2E3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五、事业收入</w:t>
            </w:r>
          </w:p>
        </w:tc>
        <w:tc>
          <w:tcPr>
            <w:tcW w:w="267" w:type="pct"/>
            <w:tcBorders>
              <w:top w:val="nil"/>
              <w:left w:val="nil"/>
              <w:bottom w:val="single" w:color="000000" w:sz="4" w:space="0"/>
              <w:right w:val="single" w:color="000000" w:sz="4" w:space="0"/>
            </w:tcBorders>
            <w:noWrap/>
            <w:vAlign w:val="center"/>
          </w:tcPr>
          <w:p w14:paraId="47A2EFA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25C3AE7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7" w:type="pct"/>
            <w:tcBorders>
              <w:top w:val="nil"/>
              <w:left w:val="nil"/>
              <w:bottom w:val="single" w:color="000000" w:sz="4" w:space="0"/>
              <w:right w:val="single" w:color="000000" w:sz="4" w:space="0"/>
            </w:tcBorders>
            <w:noWrap/>
            <w:vAlign w:val="center"/>
          </w:tcPr>
          <w:p w14:paraId="07D1CB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六、经营收入</w:t>
            </w:r>
          </w:p>
        </w:tc>
        <w:tc>
          <w:tcPr>
            <w:tcW w:w="267" w:type="pct"/>
            <w:tcBorders>
              <w:top w:val="nil"/>
              <w:left w:val="nil"/>
              <w:bottom w:val="single" w:color="000000" w:sz="4" w:space="0"/>
              <w:right w:val="single" w:color="000000" w:sz="4" w:space="0"/>
            </w:tcBorders>
            <w:noWrap/>
            <w:vAlign w:val="center"/>
          </w:tcPr>
          <w:p w14:paraId="4471FA2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1FED7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7" w:type="pct"/>
            <w:tcBorders>
              <w:top w:val="nil"/>
              <w:left w:val="nil"/>
              <w:bottom w:val="single" w:color="000000" w:sz="4" w:space="0"/>
              <w:right w:val="single" w:color="000000" w:sz="4" w:space="0"/>
            </w:tcBorders>
            <w:noWrap/>
            <w:vAlign w:val="center"/>
          </w:tcPr>
          <w:p w14:paraId="2653EA1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30295DA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八、其他收入</w:t>
            </w:r>
          </w:p>
        </w:tc>
        <w:tc>
          <w:tcPr>
            <w:tcW w:w="267" w:type="pct"/>
            <w:tcBorders>
              <w:top w:val="nil"/>
              <w:left w:val="nil"/>
              <w:bottom w:val="single" w:color="000000" w:sz="4" w:space="0"/>
              <w:right w:val="single" w:color="000000" w:sz="4" w:space="0"/>
            </w:tcBorders>
            <w:noWrap/>
            <w:vAlign w:val="center"/>
          </w:tcPr>
          <w:p w14:paraId="2626214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9522E0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7" w:type="pct"/>
            <w:tcBorders>
              <w:top w:val="nil"/>
              <w:left w:val="nil"/>
              <w:bottom w:val="single" w:color="000000" w:sz="4" w:space="0"/>
              <w:right w:val="single" w:color="000000" w:sz="4" w:space="0"/>
            </w:tcBorders>
            <w:noWrap/>
            <w:vAlign w:val="center"/>
          </w:tcPr>
          <w:p w14:paraId="08C11D7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7" w:type="pct"/>
            <w:tcBorders>
              <w:top w:val="nil"/>
              <w:left w:val="nil"/>
              <w:bottom w:val="single" w:color="000000" w:sz="4" w:space="0"/>
              <w:right w:val="single" w:color="000000" w:sz="4" w:space="0"/>
            </w:tcBorders>
            <w:noWrap/>
            <w:vAlign w:val="center"/>
          </w:tcPr>
          <w:p w14:paraId="35C25B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7" w:type="pct"/>
            <w:tcBorders>
              <w:top w:val="nil"/>
              <w:left w:val="nil"/>
              <w:bottom w:val="single" w:color="000000" w:sz="4" w:space="0"/>
              <w:right w:val="single" w:color="000000" w:sz="4" w:space="0"/>
            </w:tcBorders>
            <w:noWrap/>
            <w:vAlign w:val="center"/>
          </w:tcPr>
          <w:p w14:paraId="4D18D83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false"/>
                <w:iCs w:val="false"/>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7" w:type="pct"/>
            <w:tcBorders>
              <w:top w:val="nil"/>
              <w:left w:val="nil"/>
              <w:bottom w:val="single" w:color="000000" w:sz="4" w:space="0"/>
              <w:right w:val="single" w:color="000000" w:sz="4" w:space="0"/>
            </w:tcBorders>
            <w:noWrap/>
            <w:vAlign w:val="center"/>
          </w:tcPr>
          <w:p w14:paraId="219108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false"/>
                <w:iCs w:val="false"/>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7" w:type="pct"/>
            <w:tcBorders>
              <w:top w:val="nil"/>
              <w:left w:val="nil"/>
              <w:bottom w:val="single" w:color="000000" w:sz="4" w:space="0"/>
              <w:right w:val="single" w:color="000000" w:sz="4" w:space="0"/>
            </w:tcBorders>
            <w:noWrap/>
            <w:vAlign w:val="center"/>
          </w:tcPr>
          <w:p w14:paraId="5F7B49D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2FBF6DD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7" w:type="pct"/>
            <w:tcBorders>
              <w:top w:val="nil"/>
              <w:left w:val="nil"/>
              <w:bottom w:val="single" w:color="000000" w:sz="4" w:space="0"/>
              <w:right w:val="single" w:color="000000" w:sz="4" w:space="0"/>
            </w:tcBorders>
            <w:noWrap/>
            <w:vAlign w:val="center"/>
          </w:tcPr>
          <w:p w14:paraId="2AA10C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65A3D6F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结余分配</w:t>
            </w:r>
          </w:p>
        </w:tc>
        <w:tc>
          <w:tcPr>
            <w:tcW w:w="267" w:type="pct"/>
            <w:tcBorders>
              <w:top w:val="nil"/>
              <w:left w:val="nil"/>
              <w:bottom w:val="single" w:color="000000" w:sz="4" w:space="0"/>
              <w:right w:val="single" w:color="000000" w:sz="4" w:space="0"/>
            </w:tcBorders>
            <w:noWrap/>
            <w:vAlign w:val="center"/>
          </w:tcPr>
          <w:p w14:paraId="3A5975D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267" w:type="pct"/>
            <w:tcBorders>
              <w:top w:val="nil"/>
              <w:left w:val="nil"/>
              <w:bottom w:val="single" w:color="000000" w:sz="4" w:space="0"/>
              <w:right w:val="single" w:color="000000" w:sz="4" w:space="0"/>
            </w:tcBorders>
            <w:noWrap/>
            <w:vAlign w:val="center"/>
          </w:tcPr>
          <w:p w14:paraId="3F69D3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70533FB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c>
          <w:tcPr>
            <w:tcW w:w="267" w:type="pct"/>
            <w:tcBorders>
              <w:top w:val="nil"/>
              <w:left w:val="nil"/>
              <w:bottom w:val="single" w:color="000000" w:sz="4" w:space="0"/>
              <w:right w:val="single" w:color="000000" w:sz="4" w:space="0"/>
            </w:tcBorders>
            <w:noWrap/>
            <w:vAlign w:val="center"/>
          </w:tcPr>
          <w:p w14:paraId="484AA5E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eastAsia="zh-CN"/>
              </w:rPr>
            </w:pPr>
            <w:r>
              <w:rPr>
                <w:rFonts w:hint="default" w:ascii="Times New Roman" w:hAnsi="Times New Roman" w:eastAsia="宋体" w:cs="Times New Roman"/>
                <w:i w:val="false"/>
                <w:iCs w:val="false"/>
                <w:color w:val="000000"/>
                <w:sz w:val="20"/>
                <w:szCs w:val="20"/>
                <w:highlight w:val="none"/>
                <w:u w:val="none"/>
                <w:lang w:val="en-US" w:eastAsia="zh-CN"/>
              </w:rPr>
              <w:t/>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false"/>
                <w:iCs w:val="false"/>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false"/>
                <w:iCs w:val="false"/>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70E1E2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361" w:type="pct"/>
            <w:gridSpan w:val="2"/>
            <w:tcBorders>
              <w:top w:val="nil"/>
              <w:left w:val="nil"/>
              <w:bottom w:val="single" w:color="000000" w:sz="4" w:space="0"/>
              <w:right w:val="single" w:color="000000" w:sz="4" w:space="0"/>
            </w:tcBorders>
            <w:noWrap/>
            <w:vAlign w:val="center"/>
          </w:tcPr>
          <w:p w14:paraId="2B01AA3D">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7" w:type="pct"/>
            <w:tcBorders>
              <w:top w:val="nil"/>
              <w:left w:val="nil"/>
              <w:bottom w:val="single" w:color="000000" w:sz="4" w:space="0"/>
              <w:right w:val="single" w:color="000000" w:sz="4" w:space="0"/>
            </w:tcBorders>
            <w:noWrap/>
            <w:vAlign w:val="center"/>
          </w:tcPr>
          <w:p w14:paraId="19A5AF1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lang w:val="en-US"/>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注：1.本表反映部门本年度的总收支和年末结转结余情况。</w:t>
            </w:r>
          </w:p>
          <w:p w14:paraId="50B55D94">
            <w:pPr>
              <w:keepNext w:val="false"/>
              <w:keepLines w:val="false"/>
              <w:widowControl/>
              <w:suppressLineNumbers w:val="false"/>
              <w:ind w:firstLine="400" w:firstLineChars="200"/>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2.本套报表金额转换时可能存在尾数误差。（如无相关数据，则需注明空表列示）</w:t>
            </w:r>
          </w:p>
        </w:tc>
      </w:tr>
    </w:tbl>
    <w:p w14:paraId="477D721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eastAsia" w:ascii="Times New Roman" w:hAnsi="Times New Roman" w:eastAsia="宋体" w:cs="Times New Roman"/>
                <w:i w:val="false"/>
                <w:iCs w:val="false"/>
                <w:color w:val="000000"/>
                <w:sz w:val="20"/>
                <w:szCs w:val="20"/>
                <w:highlight w:val="none"/>
                <w:u w:val="none"/>
                <w:lang w:val="en-US" w:eastAsia="zh-CN"/>
              </w:rPr>
              <w:t/>
              <w:t>02</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部门（单位）：元氏县北褚镇人民政府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default" w:ascii="Times New Roman" w:hAnsi="Times New Roman" w:eastAsia="方正仿宋_GB2312" w:cs="Times New Roman"/>
                <w:i w:val="false"/>
                <w:iCs w:val="false"/>
                <w:color w:val="000000"/>
                <w:sz w:val="20"/>
                <w:szCs w:val="20"/>
                <w:highlight w:val="none"/>
                <w:u w:val="none"/>
                <w:lang w:val="en-US" w:eastAsia="zh-CN"/>
              </w:rPr>
              <w:t/>
              <w:t>202</w:t>
            </w:r>
            <w:r>
              <w:rPr>
                <w:rFonts w:hint="eastAsia" w:ascii="Times New Roman" w:hAnsi="Times New Roman" w:eastAsia="方正仿宋_GB2312" w:cs="Times New Roman"/>
                <w:i w:val="false"/>
                <w:iCs w:val="false"/>
                <w:color w:val="000000"/>
                <w:sz w:val="20"/>
                <w:szCs w:val="20"/>
                <w:highlight w:val="none"/>
                <w:u w:val="none"/>
                <w:lang w:val="en-US" w:eastAsia="zh-CN"/>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32435B0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本年收入合计</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28FE0E0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财政拨款收入</w:t>
            </w:r>
          </w:p>
        </w:tc>
        <w:tc>
          <w:tcPr>
            <w:tcW w:w="1037" w:type="dxa"/>
            <w:vMerge w:val="restart"/>
            <w:tcBorders>
              <w:top w:val="single" w:color="auto" w:sz="4" w:space="0"/>
              <w:left w:val="nil"/>
              <w:bottom w:val="single" w:color="000000" w:sz="4" w:space="0"/>
              <w:right w:val="single" w:color="000000" w:sz="4" w:space="0"/>
            </w:tcBorders>
            <w:noWrap w:val="false"/>
            <w:vAlign w:val="center"/>
          </w:tcPr>
          <w:p w14:paraId="519F8CE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上级补助收入</w:t>
            </w:r>
          </w:p>
        </w:tc>
        <w:tc>
          <w:tcPr>
            <w:tcW w:w="964" w:type="dxa"/>
            <w:vMerge w:val="restart"/>
            <w:tcBorders>
              <w:top w:val="single" w:color="auto" w:sz="4" w:space="0"/>
              <w:left w:val="nil"/>
              <w:right w:val="single" w:color="000000" w:sz="4" w:space="0"/>
            </w:tcBorders>
            <w:noWrap w:val="false"/>
            <w:vAlign w:val="center"/>
          </w:tcPr>
          <w:p w14:paraId="7CD2CD6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事业收入</w:t>
            </w:r>
          </w:p>
        </w:tc>
        <w:tc>
          <w:tcPr>
            <w:tcW w:w="964" w:type="dxa"/>
            <w:gridSpan w:val="2"/>
            <w:vMerge w:val="restart"/>
            <w:tcBorders>
              <w:top w:val="single" w:color="auto" w:sz="4" w:space="0"/>
              <w:left w:val="nil"/>
              <w:bottom w:val="single" w:color="000000" w:sz="4" w:space="0"/>
              <w:right w:val="single" w:color="000000" w:sz="4" w:space="0"/>
            </w:tcBorders>
            <w:noWrap w:val="false"/>
            <w:vAlign w:val="center"/>
          </w:tcPr>
          <w:p w14:paraId="0CF8388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经营收入</w:t>
            </w:r>
          </w:p>
        </w:tc>
        <w:tc>
          <w:tcPr>
            <w:tcW w:w="1027" w:type="dxa"/>
            <w:vMerge w:val="restart"/>
            <w:tcBorders>
              <w:top w:val="single" w:color="auto" w:sz="4" w:space="0"/>
              <w:left w:val="nil"/>
              <w:bottom w:val="single" w:color="000000" w:sz="4" w:space="0"/>
              <w:right w:val="single" w:color="000000" w:sz="4" w:space="0"/>
            </w:tcBorders>
            <w:noWrap w:val="false"/>
            <w:vAlign w:val="center"/>
          </w:tcPr>
          <w:p w14:paraId="2EC5CA7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附属单位上缴收入</w:t>
            </w:r>
          </w:p>
        </w:tc>
        <w:tc>
          <w:tcPr>
            <w:tcW w:w="964" w:type="dxa"/>
            <w:vMerge w:val="restart"/>
            <w:tcBorders>
              <w:top w:val="single" w:color="auto" w:sz="4" w:space="0"/>
              <w:left w:val="nil"/>
              <w:bottom w:val="single" w:color="000000" w:sz="4" w:space="0"/>
              <w:right w:val="single" w:color="000000" w:sz="4" w:space="0"/>
            </w:tcBorders>
            <w:noWrap w:val="false"/>
            <w:vAlign w:val="center"/>
          </w:tcPr>
          <w:p w14:paraId="468DD8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false"/>
            <w:vAlign w:val="center"/>
          </w:tcPr>
          <w:p w14:paraId="311F531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D40809E">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2F7A2E0A">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800E84D">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2E0286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72C1BCFA">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70EBDB18">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4D5BB202">
            <w:pPr>
              <w:jc w:val="center"/>
              <w:rPr>
                <w:rFonts w:hint="eastAsia" w:ascii="宋体" w:hAnsi="宋体" w:eastAsia="宋体" w:cs="宋体"/>
                <w:i w:val="false"/>
                <w:iCs w:val="false"/>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642E5E0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0CB734D3">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4CEF5C4D">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70ECB15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right w:val="single" w:color="000000" w:sz="4" w:space="0"/>
            </w:tcBorders>
            <w:noWrap w:val="false"/>
            <w:vAlign w:val="center"/>
          </w:tcPr>
          <w:p w14:paraId="21589FB5">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41299A01">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5E91B644">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3393016C">
            <w:pPr>
              <w:jc w:val="center"/>
              <w:rPr>
                <w:rFonts w:hint="eastAsia" w:ascii="宋体" w:hAnsi="宋体" w:eastAsia="宋体" w:cs="宋体"/>
                <w:i w:val="false"/>
                <w:iCs w:val="false"/>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false"/>
            <w:vAlign w:val="center"/>
          </w:tcPr>
          <w:p w14:paraId="4B02CA71">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583D536F">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6ED49946">
            <w:pPr>
              <w:jc w:val="center"/>
              <w:rPr>
                <w:rFonts w:hint="eastAsia" w:ascii="宋体" w:hAnsi="宋体" w:eastAsia="宋体" w:cs="宋体"/>
                <w:i w:val="false"/>
                <w:iCs w:val="false"/>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false"/>
            <w:vAlign w:val="center"/>
          </w:tcPr>
          <w:p w14:paraId="31A316C2">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false"/>
            <w:vAlign w:val="center"/>
          </w:tcPr>
          <w:p w14:paraId="1CD27F39">
            <w:pPr>
              <w:jc w:val="center"/>
              <w:rPr>
                <w:rFonts w:hint="eastAsia" w:ascii="宋体" w:hAnsi="宋体" w:eastAsia="宋体" w:cs="宋体"/>
                <w:i w:val="false"/>
                <w:iCs w:val="false"/>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false"/>
            <w:vAlign w:val="center"/>
          </w:tcPr>
          <w:p w14:paraId="5F10B017">
            <w:pPr>
              <w:jc w:val="center"/>
              <w:rPr>
                <w:rFonts w:hint="eastAsia" w:ascii="宋体" w:hAnsi="宋体" w:eastAsia="宋体" w:cs="宋体"/>
                <w:i w:val="false"/>
                <w:iCs w:val="false"/>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false"/>
            <w:vAlign w:val="center"/>
          </w:tcPr>
          <w:p w14:paraId="0626CD8F">
            <w:pPr>
              <w:jc w:val="center"/>
              <w:rPr>
                <w:rFonts w:hint="eastAsia" w:ascii="宋体" w:hAnsi="宋体" w:eastAsia="宋体" w:cs="宋体"/>
                <w:i w:val="false"/>
                <w:iCs w:val="false"/>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false"/>
            <w:vAlign w:val="center"/>
          </w:tcPr>
          <w:p w14:paraId="18973235">
            <w:pPr>
              <w:jc w:val="center"/>
              <w:rPr>
                <w:rFonts w:hint="eastAsia" w:ascii="宋体" w:hAnsi="宋体" w:eastAsia="宋体" w:cs="宋体"/>
                <w:i w:val="false"/>
                <w:iCs w:val="false"/>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037" w:type="dxa"/>
            <w:tcBorders>
              <w:top w:val="nil"/>
              <w:left w:val="nil"/>
              <w:bottom w:val="single" w:color="000000" w:sz="4" w:space="0"/>
              <w:right w:val="single" w:color="000000" w:sz="4" w:space="0"/>
            </w:tcBorders>
            <w:noWrap w:val="false"/>
            <w:vAlign w:val="center"/>
          </w:tcPr>
          <w:p w14:paraId="6419938B">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1037" w:type="dxa"/>
            <w:tcBorders>
              <w:top w:val="nil"/>
              <w:left w:val="nil"/>
              <w:bottom w:val="single" w:color="000000" w:sz="4" w:space="0"/>
              <w:right w:val="single" w:color="000000" w:sz="4" w:space="0"/>
            </w:tcBorders>
            <w:noWrap w:val="false"/>
            <w:vAlign w:val="center"/>
          </w:tcPr>
          <w:p w14:paraId="2E6504A8">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1037" w:type="dxa"/>
            <w:tcBorders>
              <w:top w:val="nil"/>
              <w:left w:val="nil"/>
              <w:bottom w:val="single" w:color="000000" w:sz="4" w:space="0"/>
              <w:right w:val="single" w:color="000000" w:sz="4" w:space="0"/>
            </w:tcBorders>
            <w:noWrap w:val="false"/>
            <w:vAlign w:val="center"/>
          </w:tcPr>
          <w:p w14:paraId="13B73DE2">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964" w:type="dxa"/>
            <w:tcBorders>
              <w:top w:val="nil"/>
              <w:left w:val="nil"/>
              <w:bottom w:val="single" w:color="000000" w:sz="4" w:space="0"/>
              <w:right w:val="single" w:color="000000" w:sz="4" w:space="0"/>
            </w:tcBorders>
            <w:noWrap w:val="false"/>
            <w:vAlign w:val="center"/>
          </w:tcPr>
          <w:p w14:paraId="1AC19557">
            <w:pPr>
              <w:keepNext w:val="false"/>
              <w:keepLines w:val="false"/>
              <w:widowControl/>
              <w:suppressLineNumbers w:val="false"/>
              <w:jc w:val="center"/>
              <w:textAlignment w:val="center"/>
              <w:rPr>
                <w:rFonts w:hint="default"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4</w:t>
            </w:r>
          </w:p>
        </w:tc>
        <w:tc>
          <w:tcPr>
            <w:tcW w:w="964" w:type="dxa"/>
            <w:gridSpan w:val="2"/>
            <w:tcBorders>
              <w:top w:val="nil"/>
              <w:left w:val="nil"/>
              <w:bottom w:val="single" w:color="000000" w:sz="4" w:space="0"/>
              <w:right w:val="single" w:color="000000" w:sz="4" w:space="0"/>
            </w:tcBorders>
            <w:noWrap w:val="false"/>
            <w:vAlign w:val="center"/>
          </w:tcPr>
          <w:p w14:paraId="3ABCFD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c>
          <w:tcPr>
            <w:tcW w:w="1027" w:type="dxa"/>
            <w:tcBorders>
              <w:top w:val="nil"/>
              <w:left w:val="nil"/>
              <w:bottom w:val="single" w:color="000000" w:sz="4" w:space="0"/>
              <w:right w:val="single" w:color="000000" w:sz="4" w:space="0"/>
            </w:tcBorders>
            <w:noWrap w:val="false"/>
            <w:vAlign w:val="center"/>
          </w:tcPr>
          <w:p w14:paraId="413571CC">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6</w:t>
            </w:r>
          </w:p>
        </w:tc>
        <w:tc>
          <w:tcPr>
            <w:tcW w:w="964" w:type="dxa"/>
            <w:tcBorders>
              <w:top w:val="nil"/>
              <w:left w:val="nil"/>
              <w:bottom w:val="single" w:color="000000" w:sz="4" w:space="0"/>
              <w:right w:val="single" w:color="000000" w:sz="4" w:space="0"/>
            </w:tcBorders>
            <w:noWrap w:val="false"/>
            <w:vAlign w:val="center"/>
          </w:tcPr>
          <w:p w14:paraId="0CA04C90">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注：本表反映部门本年度取得的各项收入情况。（如无相关数据，则需注明空表列示）</w:t>
            </w:r>
          </w:p>
        </w:tc>
      </w:tr>
    </w:tbl>
    <w:p w14:paraId="68CDE5D3">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false"/>
              <w:keepLines w:val="false"/>
              <w:pageBreakBefore w:val="false"/>
              <w:widowControl w:val="false"/>
              <w:kinsoku/>
              <w:wordWrap/>
              <w:overflowPunct/>
              <w:topLinePunct w:val="false"/>
              <w:autoSpaceDE/>
              <w:autoSpaceDN/>
              <w:bidi w:val="false"/>
              <w:adjustRightInd/>
              <w:snapToGrid/>
              <w:spacing w:line="240" w:lineRule="auto"/>
              <w:jc w:val="center"/>
              <w:textAlignment w:val="auto"/>
              <w:outlineLvl w:val="1"/>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br w:type="page"/>
            </w:r>
            <w:r>
              <w:rPr>
                <w:rFonts w:hint="eastAsia" w:ascii="方正仿宋_GB2312" w:hAnsi="方正仿宋_GB2312" w:eastAsia="方正仿宋_GB2312" w:cs="方正仿宋_GB2312"/>
                <w:b w:val="false"/>
                <w:bCs/>
                <w:color w:val="auto"/>
                <w:kern w:val="0"/>
                <w:sz w:val="32"/>
                <w:szCs w:val="32"/>
                <w:highlight w:val="none"/>
                <w:lang w:val="en-US" w:eastAsia="zh-CN"/>
              </w:rPr>
              <w:t/>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03</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部门（单位）：元氏县北褚镇人民政府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1403" w:type="pct"/>
            <w:gridSpan w:val="3"/>
            <w:tcBorders>
              <w:top w:val="nil"/>
              <w:left w:val="nil"/>
              <w:bottom w:val="single" w:color="auto" w:sz="4" w:space="0"/>
              <w:right w:val="nil"/>
            </w:tcBorders>
            <w:noWrap/>
            <w:vAlign w:val="bottom"/>
          </w:tcPr>
          <w:p w14:paraId="216B9A48">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eastAsiaTheme="minorEastAsia"/>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734" w:type="pct"/>
            <w:gridSpan w:val="3"/>
            <w:tcBorders>
              <w:top w:val="nil"/>
              <w:left w:val="nil"/>
              <w:bottom w:val="single" w:color="auto" w:sz="4" w:space="0"/>
              <w:right w:val="nil"/>
            </w:tcBorders>
            <w:noWrap/>
            <w:vAlign w:val="bottom"/>
          </w:tcPr>
          <w:p w14:paraId="272F664D">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03" w:type="pct"/>
            <w:vMerge w:val="restart"/>
            <w:tcBorders>
              <w:top w:val="single" w:color="auto" w:sz="4" w:space="0"/>
              <w:left w:val="nil"/>
              <w:bottom w:val="single" w:color="000000" w:sz="4" w:space="0"/>
              <w:right w:val="single" w:color="000000" w:sz="4" w:space="0"/>
            </w:tcBorders>
            <w:noWrap w:val="false"/>
            <w:vAlign w:val="center"/>
          </w:tcPr>
          <w:p w14:paraId="217D4DD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本年支出合计</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28633EC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523FC8B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602" w:type="pct"/>
            <w:gridSpan w:val="2"/>
            <w:vMerge w:val="restart"/>
            <w:tcBorders>
              <w:top w:val="single" w:color="auto" w:sz="4" w:space="0"/>
              <w:left w:val="nil"/>
              <w:bottom w:val="single" w:color="000000" w:sz="4" w:space="0"/>
              <w:right w:val="single" w:color="000000" w:sz="4" w:space="0"/>
            </w:tcBorders>
            <w:noWrap w:val="false"/>
            <w:vAlign w:val="center"/>
          </w:tcPr>
          <w:p w14:paraId="42DA50C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上缴上级支出</w:t>
            </w:r>
          </w:p>
        </w:tc>
        <w:tc>
          <w:tcPr>
            <w:tcW w:w="602" w:type="pct"/>
            <w:vMerge w:val="restart"/>
            <w:tcBorders>
              <w:top w:val="single" w:color="auto" w:sz="4" w:space="0"/>
              <w:left w:val="nil"/>
              <w:bottom w:val="single" w:color="000000" w:sz="4" w:space="0"/>
              <w:right w:val="single" w:color="000000" w:sz="4" w:space="0"/>
            </w:tcBorders>
            <w:noWrap w:val="false"/>
            <w:vAlign w:val="center"/>
          </w:tcPr>
          <w:p w14:paraId="1A8C99A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经营支出</w:t>
            </w:r>
          </w:p>
        </w:tc>
        <w:tc>
          <w:tcPr>
            <w:tcW w:w="795" w:type="pct"/>
            <w:vMerge w:val="restart"/>
            <w:tcBorders>
              <w:top w:val="single" w:color="auto" w:sz="4" w:space="0"/>
              <w:left w:val="nil"/>
              <w:bottom w:val="single" w:color="000000" w:sz="4" w:space="0"/>
              <w:right w:val="single" w:color="000000" w:sz="4" w:space="0"/>
            </w:tcBorders>
            <w:noWrap w:val="false"/>
            <w:vAlign w:val="center"/>
          </w:tcPr>
          <w:p w14:paraId="0E312A4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false"/>
            <w:vAlign w:val="center"/>
          </w:tcPr>
          <w:p w14:paraId="75D872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7E377F0B">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4CF5770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048D3FF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6A15367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A7CA1DC">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1E1B3486">
            <w:pPr>
              <w:jc w:val="center"/>
              <w:rPr>
                <w:rFonts w:hint="eastAsia" w:ascii="宋体" w:hAnsi="宋体" w:eastAsia="宋体" w:cs="宋体"/>
                <w:i w:val="false"/>
                <w:iCs w:val="false"/>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6C0E4539">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3AD0300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B1E0842">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17865F90">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54493D37">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5DB3CC06">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8210C31">
            <w:pPr>
              <w:jc w:val="center"/>
              <w:rPr>
                <w:rFonts w:hint="eastAsia" w:ascii="宋体" w:hAnsi="宋体" w:eastAsia="宋体" w:cs="宋体"/>
                <w:i w:val="false"/>
                <w:iCs w:val="false"/>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false"/>
            <w:vAlign w:val="center"/>
          </w:tcPr>
          <w:p w14:paraId="00B67C9D">
            <w:pPr>
              <w:jc w:val="center"/>
              <w:rPr>
                <w:rFonts w:hint="eastAsia" w:ascii="宋体" w:hAnsi="宋体" w:eastAsia="宋体" w:cs="宋体"/>
                <w:i w:val="false"/>
                <w:iCs w:val="false"/>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false"/>
                <w:iCs w:val="false"/>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false"/>
            <w:vAlign w:val="center"/>
          </w:tcPr>
          <w:p w14:paraId="1CB0F352">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2C964F70">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6CD4E6CE">
            <w:pPr>
              <w:jc w:val="center"/>
              <w:rPr>
                <w:rFonts w:hint="eastAsia" w:ascii="宋体" w:hAnsi="宋体" w:eastAsia="宋体" w:cs="宋体"/>
                <w:i w:val="false"/>
                <w:iCs w:val="false"/>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false"/>
            <w:vAlign w:val="center"/>
          </w:tcPr>
          <w:p w14:paraId="190026C4">
            <w:pPr>
              <w:jc w:val="center"/>
              <w:rPr>
                <w:rFonts w:hint="eastAsia" w:ascii="宋体" w:hAnsi="宋体" w:eastAsia="宋体" w:cs="宋体"/>
                <w:i w:val="false"/>
                <w:iCs w:val="false"/>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false"/>
            <w:vAlign w:val="center"/>
          </w:tcPr>
          <w:p w14:paraId="2D591BDF">
            <w:pPr>
              <w:jc w:val="center"/>
              <w:rPr>
                <w:rFonts w:hint="eastAsia" w:ascii="宋体" w:hAnsi="宋体" w:eastAsia="宋体" w:cs="宋体"/>
                <w:i w:val="false"/>
                <w:iCs w:val="false"/>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false"/>
            <w:vAlign w:val="center"/>
          </w:tcPr>
          <w:p w14:paraId="2B174657">
            <w:pPr>
              <w:jc w:val="center"/>
              <w:rPr>
                <w:rFonts w:hint="eastAsia" w:ascii="宋体" w:hAnsi="宋体" w:eastAsia="宋体" w:cs="宋体"/>
                <w:i w:val="false"/>
                <w:iCs w:val="false"/>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03" w:type="pct"/>
            <w:tcBorders>
              <w:top w:val="nil"/>
              <w:left w:val="nil"/>
              <w:bottom w:val="single" w:color="000000" w:sz="4" w:space="0"/>
              <w:right w:val="single" w:color="000000" w:sz="4" w:space="0"/>
            </w:tcBorders>
            <w:noWrap w:val="false"/>
            <w:vAlign w:val="center"/>
          </w:tcPr>
          <w:p w14:paraId="35C3AC1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2" w:type="pct"/>
            <w:gridSpan w:val="2"/>
            <w:tcBorders>
              <w:top w:val="nil"/>
              <w:left w:val="nil"/>
              <w:bottom w:val="single" w:color="000000" w:sz="4" w:space="0"/>
              <w:right w:val="single" w:color="000000" w:sz="4" w:space="0"/>
            </w:tcBorders>
            <w:noWrap w:val="false"/>
            <w:vAlign w:val="center"/>
          </w:tcPr>
          <w:p w14:paraId="211B6A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2" w:type="pct"/>
            <w:tcBorders>
              <w:top w:val="nil"/>
              <w:left w:val="nil"/>
              <w:bottom w:val="single" w:color="000000" w:sz="4" w:space="0"/>
              <w:right w:val="single" w:color="000000" w:sz="4" w:space="0"/>
            </w:tcBorders>
            <w:noWrap w:val="false"/>
            <w:vAlign w:val="center"/>
          </w:tcPr>
          <w:p w14:paraId="4F698D0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2" w:type="pct"/>
            <w:gridSpan w:val="2"/>
            <w:tcBorders>
              <w:top w:val="nil"/>
              <w:left w:val="nil"/>
              <w:bottom w:val="single" w:color="000000" w:sz="4" w:space="0"/>
              <w:right w:val="single" w:color="000000" w:sz="4" w:space="0"/>
            </w:tcBorders>
            <w:noWrap w:val="false"/>
            <w:vAlign w:val="center"/>
          </w:tcPr>
          <w:p w14:paraId="7D8E7F9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2" w:type="pct"/>
            <w:tcBorders>
              <w:top w:val="nil"/>
              <w:left w:val="nil"/>
              <w:bottom w:val="single" w:color="000000" w:sz="4" w:space="0"/>
              <w:right w:val="single" w:color="000000" w:sz="4" w:space="0"/>
            </w:tcBorders>
            <w:noWrap w:val="false"/>
            <w:vAlign w:val="center"/>
          </w:tcPr>
          <w:p w14:paraId="598353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795" w:type="pct"/>
            <w:tcBorders>
              <w:top w:val="nil"/>
              <w:left w:val="nil"/>
              <w:bottom w:val="single" w:color="000000" w:sz="4" w:space="0"/>
              <w:right w:val="single" w:color="000000" w:sz="4" w:space="0"/>
            </w:tcBorders>
            <w:noWrap w:val="false"/>
            <w:vAlign w:val="center"/>
          </w:tcPr>
          <w:p w14:paraId="571ECD0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注：本表反映部门本年度各项支出情况。（如无相关数据，则需注明空表列示）</w:t>
            </w:r>
          </w:p>
        </w:tc>
      </w:tr>
    </w:tbl>
    <w:p w14:paraId="47632FCE">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部门（单位）：元氏县北褚镇人民政府 </w:t>
            </w:r>
            <w:r>
              <w:rPr>
                <w:rFonts w:hint="eastAsia" w:asciiTheme="minorEastAsia" w:hAnsiTheme="minorEastAsia" w:eastAsiaTheme="minorEastAsia" w:cstheme="minorEastAsia"/>
                <w:i w:val="false"/>
                <w:iCs w:val="false"/>
                <w:color w:val="000000"/>
                <w:kern w:val="0"/>
                <w:sz w:val="20"/>
                <w:szCs w:val="20"/>
                <w:highlight w:val="none"/>
                <w:u w:val="none"/>
                <w:lang w:val="en-US" w:eastAsia="zh-CN" w:bidi="ar"/>
              </w:rPr>
              <w:t xml:space="preserve"/>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false"/>
            <w:vAlign w:val="center"/>
          </w:tcPr>
          <w:p w14:paraId="4EF4967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    目</w:t>
            </w:r>
          </w:p>
        </w:tc>
        <w:tc>
          <w:tcPr>
            <w:tcW w:w="266" w:type="pct"/>
            <w:vMerge w:val="restart"/>
            <w:tcBorders>
              <w:top w:val="nil"/>
              <w:left w:val="nil"/>
              <w:bottom w:val="single" w:color="000000" w:sz="4" w:space="0"/>
              <w:right w:val="single" w:color="000000" w:sz="4" w:space="0"/>
            </w:tcBorders>
            <w:noWrap w:val="false"/>
            <w:vAlign w:val="center"/>
          </w:tcPr>
          <w:p w14:paraId="15E334B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609" w:type="pct"/>
            <w:vMerge w:val="restart"/>
            <w:tcBorders>
              <w:top w:val="nil"/>
              <w:left w:val="nil"/>
              <w:bottom w:val="single" w:color="000000" w:sz="4" w:space="0"/>
              <w:right w:val="single" w:color="000000" w:sz="4" w:space="0"/>
            </w:tcBorders>
            <w:noWrap w:val="false"/>
            <w:vAlign w:val="center"/>
          </w:tcPr>
          <w:p w14:paraId="673BC9FB">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金额</w:t>
            </w:r>
          </w:p>
        </w:tc>
        <w:tc>
          <w:tcPr>
            <w:tcW w:w="895" w:type="pct"/>
            <w:gridSpan w:val="2"/>
            <w:vMerge w:val="restart"/>
            <w:tcBorders>
              <w:top w:val="nil"/>
              <w:left w:val="nil"/>
              <w:bottom w:val="single" w:color="000000" w:sz="4" w:space="0"/>
              <w:right w:val="single" w:color="000000" w:sz="4" w:space="0"/>
            </w:tcBorders>
            <w:noWrap w:val="false"/>
            <w:vAlign w:val="center"/>
          </w:tcPr>
          <w:p w14:paraId="04810C8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266" w:type="pct"/>
            <w:vMerge w:val="restart"/>
            <w:tcBorders>
              <w:top w:val="nil"/>
              <w:left w:val="nil"/>
              <w:bottom w:val="single" w:color="000000" w:sz="4" w:space="0"/>
              <w:right w:val="single" w:color="000000" w:sz="4" w:space="0"/>
            </w:tcBorders>
            <w:noWrap w:val="false"/>
            <w:vAlign w:val="center"/>
          </w:tcPr>
          <w:p w14:paraId="5D3FEA5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行次</w:t>
            </w:r>
          </w:p>
        </w:tc>
        <w:tc>
          <w:tcPr>
            <w:tcW w:w="552" w:type="pct"/>
            <w:gridSpan w:val="2"/>
            <w:vMerge w:val="restart"/>
            <w:tcBorders>
              <w:top w:val="nil"/>
              <w:left w:val="nil"/>
              <w:right w:val="single" w:color="000000" w:sz="4" w:space="0"/>
            </w:tcBorders>
            <w:noWrap/>
            <w:vAlign w:val="center"/>
          </w:tcPr>
          <w:p w14:paraId="1E95B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合计</w:t>
            </w:r>
          </w:p>
        </w:tc>
        <w:tc>
          <w:tcPr>
            <w:tcW w:w="520" w:type="pct"/>
            <w:vMerge w:val="restart"/>
            <w:tcBorders>
              <w:top w:val="nil"/>
              <w:left w:val="nil"/>
              <w:right w:val="single" w:color="000000" w:sz="4" w:space="0"/>
            </w:tcBorders>
            <w:noWrap/>
            <w:vAlign w:val="center"/>
          </w:tcPr>
          <w:p w14:paraId="08FA1D0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一般公共预算财政拨款</w:t>
            </w:r>
          </w:p>
        </w:tc>
        <w:tc>
          <w:tcPr>
            <w:tcW w:w="520" w:type="pct"/>
            <w:vMerge w:val="restart"/>
            <w:tcBorders>
              <w:top w:val="nil"/>
              <w:left w:val="nil"/>
              <w:right w:val="single" w:color="000000" w:sz="4" w:space="0"/>
            </w:tcBorders>
            <w:noWrap/>
            <w:vAlign w:val="center"/>
          </w:tcPr>
          <w:p w14:paraId="0D084329">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政府性基金预算财政拨款</w:t>
            </w:r>
          </w:p>
        </w:tc>
        <w:tc>
          <w:tcPr>
            <w:tcW w:w="520" w:type="pct"/>
            <w:vMerge w:val="restart"/>
            <w:tcBorders>
              <w:top w:val="nil"/>
              <w:left w:val="nil"/>
              <w:right w:val="single" w:color="000000" w:sz="4" w:space="0"/>
            </w:tcBorders>
            <w:noWrap/>
            <w:vAlign w:val="center"/>
          </w:tcPr>
          <w:p w14:paraId="59214C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sz w:val="20"/>
                <w:szCs w:val="20"/>
                <w:highlight w:val="none"/>
                <w:u w:val="none"/>
              </w:rPr>
              <w:t/>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false"/>
            <w:vAlign w:val="center"/>
          </w:tcPr>
          <w:p w14:paraId="4FDFBC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76C00BD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false"/>
            <w:vAlign w:val="center"/>
          </w:tcPr>
          <w:p w14:paraId="15F79558">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false"/>
            <w:vAlign w:val="center"/>
          </w:tcPr>
          <w:p w14:paraId="37C6BAF2">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false"/>
            <w:vAlign w:val="center"/>
          </w:tcPr>
          <w:p w14:paraId="06CE8889">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false"/>
            <w:vAlign w:val="center"/>
          </w:tcPr>
          <w:p w14:paraId="188A824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76CCBE1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56B8F57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false"/>
            <w:vAlign w:val="center"/>
          </w:tcPr>
          <w:p w14:paraId="32A6240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false"/>
                <w:iCs w:val="false"/>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1</w:t>
            </w:r>
          </w:p>
        </w:tc>
        <w:tc>
          <w:tcPr>
            <w:tcW w:w="895" w:type="pct"/>
            <w:gridSpan w:val="2"/>
            <w:tcBorders>
              <w:top w:val="nil"/>
              <w:left w:val="nil"/>
              <w:bottom w:val="single" w:color="000000" w:sz="4" w:space="0"/>
              <w:right w:val="single" w:color="000000" w:sz="4" w:space="0"/>
            </w:tcBorders>
            <w:noWrap/>
            <w:vAlign w:val="center"/>
          </w:tcPr>
          <w:p w14:paraId="3589499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false"/>
                <w:iCs w:val="false"/>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2</w:t>
            </w:r>
          </w:p>
        </w:tc>
        <w:tc>
          <w:tcPr>
            <w:tcW w:w="520" w:type="pct"/>
            <w:tcBorders>
              <w:top w:val="nil"/>
              <w:left w:val="nil"/>
              <w:bottom w:val="single" w:color="000000" w:sz="4" w:space="0"/>
              <w:right w:val="single" w:color="000000" w:sz="4" w:space="0"/>
            </w:tcBorders>
            <w:noWrap/>
            <w:vAlign w:val="center"/>
          </w:tcPr>
          <w:p w14:paraId="310FC79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3</w:t>
            </w:r>
          </w:p>
        </w:tc>
        <w:tc>
          <w:tcPr>
            <w:tcW w:w="520" w:type="pct"/>
            <w:tcBorders>
              <w:top w:val="nil"/>
              <w:left w:val="nil"/>
              <w:bottom w:val="single" w:color="000000" w:sz="4" w:space="0"/>
              <w:right w:val="single" w:color="000000" w:sz="4" w:space="0"/>
            </w:tcBorders>
            <w:noWrap/>
            <w:vAlign w:val="center"/>
          </w:tcPr>
          <w:p w14:paraId="5B611E13">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4</w:t>
            </w:r>
          </w:p>
        </w:tc>
        <w:tc>
          <w:tcPr>
            <w:tcW w:w="520" w:type="pct"/>
            <w:tcBorders>
              <w:top w:val="nil"/>
              <w:left w:val="nil"/>
              <w:bottom w:val="single" w:color="000000" w:sz="4" w:space="0"/>
              <w:right w:val="single" w:color="000000" w:sz="8" w:space="0"/>
            </w:tcBorders>
            <w:noWrap/>
            <w:vAlign w:val="center"/>
          </w:tcPr>
          <w:p w14:paraId="180BD8A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rPr>
            </w:pPr>
            <w:r>
              <w:rPr>
                <w:rFonts w:hint="eastAsia" w:ascii="宋体" w:hAnsi="宋体" w:eastAsia="宋体" w:cs="宋体"/>
                <w:i w:val="false"/>
                <w:iCs w:val="false"/>
                <w:color w:val="000000"/>
                <w:kern w:val="0"/>
                <w:sz w:val="20"/>
                <w:szCs w:val="20"/>
                <w:highlight w:val="none"/>
                <w:u w:val="none"/>
                <w:lang w:val="en-US" w:eastAsia="zh-CN" w:bidi="ar"/>
              </w:rPr>
              <w:t/>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88DC72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1F5D05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二、外交支出</w:t>
            </w:r>
          </w:p>
        </w:tc>
        <w:tc>
          <w:tcPr>
            <w:tcW w:w="266" w:type="pct"/>
            <w:tcBorders>
              <w:top w:val="nil"/>
              <w:left w:val="nil"/>
              <w:bottom w:val="single" w:color="000000" w:sz="4" w:space="0"/>
              <w:right w:val="single" w:color="000000" w:sz="4" w:space="0"/>
            </w:tcBorders>
            <w:noWrap/>
            <w:vAlign w:val="center"/>
          </w:tcPr>
          <w:p w14:paraId="4189280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BDBF9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三、国防支出</w:t>
            </w:r>
          </w:p>
        </w:tc>
        <w:tc>
          <w:tcPr>
            <w:tcW w:w="266" w:type="pct"/>
            <w:tcBorders>
              <w:top w:val="nil"/>
              <w:left w:val="nil"/>
              <w:bottom w:val="single" w:color="000000" w:sz="4" w:space="0"/>
              <w:right w:val="single" w:color="000000" w:sz="4" w:space="0"/>
            </w:tcBorders>
            <w:noWrap/>
            <w:vAlign w:val="center"/>
          </w:tcPr>
          <w:p w14:paraId="35BEBB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四、公共安全支出</w:t>
            </w:r>
          </w:p>
        </w:tc>
        <w:tc>
          <w:tcPr>
            <w:tcW w:w="266" w:type="pct"/>
            <w:tcBorders>
              <w:top w:val="nil"/>
              <w:left w:val="nil"/>
              <w:bottom w:val="single" w:color="000000" w:sz="4" w:space="0"/>
              <w:right w:val="single" w:color="000000" w:sz="4" w:space="0"/>
            </w:tcBorders>
            <w:noWrap/>
            <w:vAlign w:val="center"/>
          </w:tcPr>
          <w:p w14:paraId="0C31DED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五、教育支出</w:t>
            </w:r>
          </w:p>
        </w:tc>
        <w:tc>
          <w:tcPr>
            <w:tcW w:w="266" w:type="pct"/>
            <w:tcBorders>
              <w:top w:val="nil"/>
              <w:left w:val="nil"/>
              <w:bottom w:val="single" w:color="000000" w:sz="4" w:space="0"/>
              <w:right w:val="single" w:color="000000" w:sz="4" w:space="0"/>
            </w:tcBorders>
            <w:noWrap/>
            <w:vAlign w:val="center"/>
          </w:tcPr>
          <w:p w14:paraId="5119B84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六、科学技术支出</w:t>
            </w:r>
          </w:p>
        </w:tc>
        <w:tc>
          <w:tcPr>
            <w:tcW w:w="266" w:type="pct"/>
            <w:tcBorders>
              <w:top w:val="nil"/>
              <w:left w:val="nil"/>
              <w:bottom w:val="single" w:color="000000" w:sz="4" w:space="0"/>
              <w:right w:val="single" w:color="000000" w:sz="4" w:space="0"/>
            </w:tcBorders>
            <w:noWrap/>
            <w:vAlign w:val="center"/>
          </w:tcPr>
          <w:p w14:paraId="63EF492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九、卫生健康支出</w:t>
            </w:r>
          </w:p>
        </w:tc>
        <w:tc>
          <w:tcPr>
            <w:tcW w:w="266" w:type="pct"/>
            <w:tcBorders>
              <w:top w:val="nil"/>
              <w:left w:val="nil"/>
              <w:bottom w:val="single" w:color="000000" w:sz="4" w:space="0"/>
              <w:right w:val="single" w:color="000000" w:sz="4" w:space="0"/>
            </w:tcBorders>
            <w:noWrap/>
            <w:vAlign w:val="center"/>
          </w:tcPr>
          <w:p w14:paraId="78294FC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十、节能环保支出</w:t>
            </w:r>
          </w:p>
        </w:tc>
        <w:tc>
          <w:tcPr>
            <w:tcW w:w="266" w:type="pct"/>
            <w:tcBorders>
              <w:top w:val="nil"/>
              <w:left w:val="nil"/>
              <w:bottom w:val="single" w:color="000000" w:sz="4" w:space="0"/>
              <w:right w:val="single" w:color="000000" w:sz="4" w:space="0"/>
            </w:tcBorders>
            <w:noWrap/>
            <w:vAlign w:val="center"/>
          </w:tcPr>
          <w:p w14:paraId="25959662">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十二、农林水支出</w:t>
            </w:r>
          </w:p>
        </w:tc>
        <w:tc>
          <w:tcPr>
            <w:tcW w:w="266" w:type="pct"/>
            <w:tcBorders>
              <w:top w:val="nil"/>
              <w:left w:val="nil"/>
              <w:bottom w:val="single" w:color="auto" w:sz="4" w:space="0"/>
              <w:right w:val="single" w:color="000000" w:sz="4" w:space="0"/>
            </w:tcBorders>
            <w:noWrap/>
            <w:vAlign w:val="center"/>
          </w:tcPr>
          <w:p w14:paraId="1AFE1CB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false"/>
                <w:iCs w:val="false"/>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false"/>
                <w:iCs w:val="false"/>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本年收入合计</w:t>
            </w:r>
          </w:p>
        </w:tc>
        <w:tc>
          <w:tcPr>
            <w:tcW w:w="266" w:type="pct"/>
            <w:tcBorders>
              <w:top w:val="nil"/>
              <w:left w:val="nil"/>
              <w:bottom w:val="single" w:color="000000" w:sz="4" w:space="0"/>
              <w:right w:val="single" w:color="000000" w:sz="4" w:space="0"/>
            </w:tcBorders>
            <w:noWrap/>
            <w:vAlign w:val="center"/>
          </w:tcPr>
          <w:p w14:paraId="02A8AD71">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2F9B6400">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本年支出合计</w:t>
            </w:r>
          </w:p>
        </w:tc>
        <w:tc>
          <w:tcPr>
            <w:tcW w:w="266" w:type="pct"/>
            <w:tcBorders>
              <w:top w:val="nil"/>
              <w:left w:val="nil"/>
              <w:bottom w:val="single" w:color="000000" w:sz="4" w:space="0"/>
              <w:right w:val="single" w:color="000000" w:sz="4" w:space="0"/>
            </w:tcBorders>
            <w:noWrap/>
            <w:vAlign w:val="center"/>
          </w:tcPr>
          <w:p w14:paraId="405805BE">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38A4DE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false"/>
                <w:iCs w:val="false"/>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false"/>
                <w:iCs w:val="false"/>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false"/>
                <w:iCs w:val="false"/>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false"/>
                <w:iCs w:val="false"/>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796E2179">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895" w:type="pct"/>
            <w:gridSpan w:val="2"/>
            <w:tcBorders>
              <w:top w:val="nil"/>
              <w:left w:val="nil"/>
              <w:bottom w:val="single" w:color="000000" w:sz="8" w:space="0"/>
              <w:right w:val="single" w:color="000000" w:sz="4" w:space="0"/>
            </w:tcBorders>
            <w:noWrap/>
            <w:vAlign w:val="center"/>
          </w:tcPr>
          <w:p w14:paraId="0E12E033">
            <w:pPr>
              <w:keepNext w:val="false"/>
              <w:keepLines w:val="false"/>
              <w:widowControl/>
              <w:suppressLineNumbers w:val="false"/>
              <w:jc w:val="center"/>
              <w:textAlignment w:val="center"/>
              <w:rPr>
                <w:rFonts w:hint="eastAsia" w:ascii="方正仿宋_GB2312" w:hAnsi="方正仿宋_GB2312" w:eastAsia="方正仿宋_GB2312" w:cs="方正仿宋_GB2312"/>
                <w:b/>
                <w:bCs/>
                <w:i w:val="false"/>
                <w:iCs w:val="false"/>
                <w:color w:val="000000"/>
                <w:sz w:val="20"/>
                <w:szCs w:val="20"/>
                <w:highlight w:val="none"/>
                <w:u w:val="none"/>
              </w:rPr>
            </w:pPr>
            <w:r>
              <w:rPr>
                <w:rFonts w:hint="eastAsia" w:ascii="方正仿宋_GB2312" w:hAnsi="方正仿宋_GB2312" w:eastAsia="方正仿宋_GB2312" w:cs="方正仿宋_GB2312"/>
                <w:b/>
                <w:bCs/>
                <w:i w:val="false"/>
                <w:iCs w:val="false"/>
                <w:color w:val="000000"/>
                <w:kern w:val="0"/>
                <w:sz w:val="20"/>
                <w:szCs w:val="20"/>
                <w:highlight w:val="none"/>
                <w:u w:val="none"/>
                <w:lang w:val="en-US" w:eastAsia="zh-CN" w:bidi="ar"/>
              </w:rPr>
              <w:t/>
              <w:t>总计</w:t>
            </w:r>
          </w:p>
        </w:tc>
        <w:tc>
          <w:tcPr>
            <w:tcW w:w="266" w:type="pct"/>
            <w:tcBorders>
              <w:top w:val="nil"/>
              <w:left w:val="nil"/>
              <w:bottom w:val="single" w:color="000000" w:sz="8" w:space="0"/>
              <w:right w:val="single" w:color="000000" w:sz="4" w:space="0"/>
            </w:tcBorders>
            <w:noWrap/>
            <w:vAlign w:val="center"/>
          </w:tcPr>
          <w:p w14:paraId="606B87B8">
            <w:pPr>
              <w:keepNext w:val="false"/>
              <w:keepLines w:val="false"/>
              <w:widowControl/>
              <w:suppressLineNumbers w:val="false"/>
              <w:jc w:val="center"/>
              <w:textAlignment w:val="center"/>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
              <w:t/>
            </w:r>
          </w:p>
          <w:p w14:paraId="46956FDA">
            <w:pPr>
              <w:jc w:val="right"/>
              <w:rPr>
                <w:rFonts w:hint="default" w:ascii="Times New Roman" w:hAnsi="Times New Roman" w:eastAsia="宋体" w:cs="Times New Roman"/>
                <w:i w:val="false"/>
                <w:iCs w:val="false"/>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注：本表反映部门本年度一般公共预算财政拨款、政府性基金预算财政拨款和国有资本经营预算财政拨款的总收支和年末结转结余情况。（如无相关数据，则需注明空表列示）</w:t>
            </w:r>
          </w:p>
        </w:tc>
      </w:tr>
    </w:tbl>
    <w:p w14:paraId="25F95412">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39"/>
        <w:gridCol w:w="1329"/>
        <w:gridCol w:w="705"/>
        <w:gridCol w:w="1305"/>
        <w:gridCol w:w="1366"/>
        <w:gridCol w:w="645"/>
        <w:gridCol w:w="2108"/>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05</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编制部门（单位）：元氏县北褚镇人民政府</w:t>
            </w:r>
          </w:p>
        </w:tc>
        <w:tc>
          <w:tcPr>
            <w:tcW w:w="1541" w:type="pct"/>
            <w:gridSpan w:val="2"/>
            <w:tcBorders>
              <w:top w:val="nil"/>
              <w:left w:val="nil"/>
              <w:bottom w:val="single" w:color="auto" w:sz="4" w:space="0"/>
              <w:right w:val="nil"/>
            </w:tcBorders>
            <w:noWrap/>
            <w:vAlign w:val="bottom"/>
          </w:tcPr>
          <w:p w14:paraId="6F8D6BB1">
            <w:pPr>
              <w:keepNext w:val="false"/>
              <w:keepLines w:val="false"/>
              <w:widowControl/>
              <w:suppressLineNumbers w:val="false"/>
              <w:jc w:val="center"/>
              <w:textAlignment w:val="bottom"/>
              <w:rPr>
                <w:rFonts w:hint="default" w:asciiTheme="minorEastAsia" w:hAnsiTheme="minorEastAsia" w:eastAsiaTheme="minorEastAsia" w:cstheme="minorEastAsia"/>
                <w:i w:val="false"/>
                <w:iCs w:val="false"/>
                <w:color w:val="000000"/>
                <w:kern w:val="0"/>
                <w:sz w:val="20"/>
                <w:szCs w:val="20"/>
                <w:highlight w:val="none"/>
                <w:u w:val="none"/>
                <w:lang w:val="en-US" w:eastAsia="zh-CN" w:bidi="ar"/>
              </w:rPr>
            </w:pPr>
            <w:r>
              <w:rPr>
                <w:rFonts w:hint="default" w:ascii="Times New Roman" w:hAnsi="Times New Roman" w:cs="Times New Roman"/>
                <w:i w:val="false"/>
                <w:iCs w:val="false"/>
                <w:color w:val="000000"/>
                <w:kern w:val="0"/>
                <w:sz w:val="20"/>
                <w:szCs w:val="20"/>
                <w:highlight w:val="none"/>
                <w:u w:val="none"/>
                <w:lang w:val="en-US" w:eastAsia="zh-CN" w:bidi="ar"/>
              </w:rPr>
              <w:t/>
              <w:t>202</w:t>
            </w:r>
            <w:r>
              <w:rPr>
                <w:rFonts w:hint="eastAsia" w:ascii="Times New Roman" w:hAnsi="Times New Roman"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590" w:type="pct"/>
            <w:gridSpan w:val="2"/>
            <w:tcBorders>
              <w:top w:val="nil"/>
              <w:left w:val="nil"/>
              <w:bottom w:val="single" w:color="auto" w:sz="4" w:space="0"/>
              <w:right w:val="nil"/>
            </w:tcBorders>
            <w:noWrap/>
            <w:vAlign w:val="bottom"/>
          </w:tcPr>
          <w:p w14:paraId="63AE8029">
            <w:pPr>
              <w:keepNext w:val="false"/>
              <w:keepLines w:val="false"/>
              <w:widowControl/>
              <w:suppressLineNumbers w:val="false"/>
              <w:jc w:val="right"/>
              <w:textAlignment w:val="bottom"/>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767FD3F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3538" w:type="pct"/>
            <w:gridSpan w:val="5"/>
            <w:tcBorders>
              <w:top w:val="single" w:color="auto" w:sz="4" w:space="0"/>
              <w:left w:val="single" w:color="auto" w:sz="4" w:space="0"/>
              <w:bottom w:val="single" w:color="auto" w:sz="4" w:space="0"/>
              <w:right w:val="single" w:color="auto" w:sz="4" w:space="0"/>
            </w:tcBorders>
            <w:noWrap w:val="false"/>
            <w:vAlign w:val="center"/>
          </w:tcPr>
          <w:p w14:paraId="1E35482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false"/>
            <w:vAlign w:val="center"/>
          </w:tcPr>
          <w:p w14:paraId="303F01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科目代码</w:t>
            </w:r>
          </w:p>
        </w:tc>
        <w:tc>
          <w:tcPr>
            <w:tcW w:w="756" w:type="pct"/>
            <w:vMerge w:val="restart"/>
            <w:tcBorders>
              <w:top w:val="single" w:color="auto" w:sz="4" w:space="0"/>
              <w:left w:val="single" w:color="auto" w:sz="4" w:space="0"/>
              <w:bottom w:val="single" w:color="auto" w:sz="4" w:space="0"/>
              <w:right w:val="single" w:color="auto" w:sz="4" w:space="0"/>
            </w:tcBorders>
            <w:noWrap w:val="false"/>
            <w:vAlign w:val="center"/>
          </w:tcPr>
          <w:p w14:paraId="743EB06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6B17A41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false"/>
            <w:vAlign w:val="center"/>
          </w:tcPr>
          <w:p w14:paraId="4755C0C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1218" w:type="pct"/>
            <w:vMerge w:val="restart"/>
            <w:tcBorders>
              <w:top w:val="single" w:color="auto" w:sz="4" w:space="0"/>
              <w:left w:val="single" w:color="auto" w:sz="4" w:space="0"/>
              <w:bottom w:val="single" w:color="auto" w:sz="4" w:space="0"/>
              <w:right w:val="single" w:color="auto" w:sz="4" w:space="0"/>
            </w:tcBorders>
            <w:noWrap w:val="false"/>
            <w:vAlign w:val="center"/>
          </w:tcPr>
          <w:p w14:paraId="35175C3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07BBA312">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24227AC3">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9084284">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39BF0FED">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517381C9">
            <w:pPr>
              <w:jc w:val="center"/>
              <w:rPr>
                <w:rFonts w:hint="eastAsia" w:ascii="宋体" w:hAnsi="宋体" w:eastAsia="宋体" w:cs="宋体"/>
                <w:i w:val="false"/>
                <w:iCs w:val="false"/>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false"/>
            <w:vAlign w:val="center"/>
          </w:tcPr>
          <w:p w14:paraId="2E32E979">
            <w:pPr>
              <w:jc w:val="center"/>
              <w:rPr>
                <w:rFonts w:hint="eastAsia" w:ascii="宋体" w:hAnsi="宋体" w:eastAsia="宋体" w:cs="宋体"/>
                <w:i w:val="false"/>
                <w:iCs w:val="false"/>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false"/>
            <w:vAlign w:val="center"/>
          </w:tcPr>
          <w:p w14:paraId="1337A1D9">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3715D87">
            <w:pPr>
              <w:jc w:val="center"/>
              <w:rPr>
                <w:rFonts w:hint="eastAsia" w:ascii="宋体" w:hAnsi="宋体" w:eastAsia="宋体" w:cs="宋体"/>
                <w:i w:val="false"/>
                <w:iCs w:val="false"/>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false"/>
            <w:vAlign w:val="center"/>
          </w:tcPr>
          <w:p w14:paraId="11512C71">
            <w:pPr>
              <w:jc w:val="center"/>
              <w:rPr>
                <w:rFonts w:hint="eastAsia" w:ascii="宋体" w:hAnsi="宋体" w:eastAsia="宋体" w:cs="宋体"/>
                <w:i w:val="false"/>
                <w:iCs w:val="false"/>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false"/>
            <w:vAlign w:val="center"/>
          </w:tcPr>
          <w:p w14:paraId="0C43699C">
            <w:pPr>
              <w:jc w:val="center"/>
              <w:rPr>
                <w:rFonts w:hint="eastAsia" w:ascii="宋体" w:hAnsi="宋体" w:eastAsia="宋体" w:cs="宋体"/>
                <w:i w:val="false"/>
                <w:iCs w:val="false"/>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3682F967">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false"/>
              <w:keepLines w:val="false"/>
              <w:widowControl/>
              <w:suppressLineNumbers w:val="false"/>
              <w:jc w:val="center"/>
              <w:textAlignment w:val="center"/>
              <w:rPr>
                <w:rFonts w:hint="eastAsia" w:ascii="宋体" w:hAnsi="宋体" w:eastAsia="宋体" w:cs="宋体"/>
                <w:i w:val="false"/>
                <w:iCs w:val="false"/>
                <w:color w:val="000000"/>
                <w:sz w:val="20"/>
                <w:szCs w:val="20"/>
                <w:highlight w:val="none"/>
                <w:u w:val="none"/>
                <w:lang w:val="en-US" w:eastAsia="zh-CN"/>
              </w:rPr>
            </w:pPr>
            <w:r>
              <w:rPr>
                <w:rFonts w:hint="eastAsia" w:ascii="宋体" w:hAnsi="宋体" w:eastAsia="宋体" w:cs="宋体"/>
                <w:i w:val="false"/>
                <w:iCs w:val="false"/>
                <w:color w:val="000000"/>
                <w:sz w:val="20"/>
                <w:szCs w:val="20"/>
                <w:highlight w:val="none"/>
                <w:u w:val="none"/>
                <w:lang w:val="en-US" w:eastAsia="zh-CN"/>
              </w:rPr>
              <w:t/>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false"/>
            <w:vAlign w:val="center"/>
          </w:tcPr>
          <w:p w14:paraId="22A50BE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cs="Times New Roman"/>
                <w:sz w:val="20"/>
                <w:szCs w:val="20"/>
                <w:highlight w:val="none"/>
              </w:rPr>
              <w:t/>
              <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注：本表反映部门本年度一般公共预算财政拨款支出情况。（如无相关数据，则需注明空表列示）</w:t>
            </w:r>
          </w:p>
        </w:tc>
      </w:tr>
    </w:tbl>
    <w:p w14:paraId="7E3D288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24" w:hRule="atLeast"/>
        </w:trPr>
        <w:tc>
          <w:tcPr>
            <w:tcW w:w="5000" w:type="pct"/>
            <w:gridSpan w:val="11"/>
            <w:tcBorders>
              <w:top w:val="nil"/>
              <w:left w:val="nil"/>
              <w:bottom w:val="nil"/>
              <w:right w:val="nil"/>
            </w:tcBorders>
            <w:noWrap/>
            <w:vAlign w:val="bottom"/>
          </w:tcPr>
          <w:p w14:paraId="0E0604A3">
            <w:pPr>
              <w:keepNext w:val="false"/>
              <w:keepLines w:val="false"/>
              <w:widowControl/>
              <w:suppressLineNumbers w:val="false"/>
              <w:jc w:val="center"/>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false"/>
              <w:keepLines w:val="false"/>
              <w:widowControl/>
              <w:suppressLineNumbers w:val="false"/>
              <w:jc w:val="right"/>
              <w:textAlignment w:val="bottom"/>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06</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部门（单位）：元氏县北褚镇人民政府 </w:t>
            </w:r>
            <w:r>
              <w:rPr>
                <w:rFonts w:hint="eastAsia" w:asciiTheme="minorEastAsia" w:hAnsiTheme="minorEastAsia" w:cstheme="minorEastAsia"/>
                <w:i w:val="false"/>
                <w:iCs w:val="false"/>
                <w:color w:val="000000"/>
                <w:kern w:val="0"/>
                <w:sz w:val="18"/>
                <w:szCs w:val="18"/>
                <w:highlight w:val="none"/>
                <w:u w:val="none"/>
                <w:lang w:val="en-US" w:eastAsia="zh-CN" w:bidi="ar"/>
              </w:rPr>
              <w:t xml:space="preserve"/>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Theme="minorEastAsia" w:hAnsiTheme="minorEastAsia" w:cstheme="minorEastAsia"/>
                <w:i w:val="false"/>
                <w:iCs w:val="false"/>
                <w:color w:val="000000"/>
                <w:kern w:val="0"/>
                <w:sz w:val="18"/>
                <w:szCs w:val="18"/>
                <w:highlight w:val="none"/>
                <w:u w:val="none"/>
                <w:lang w:val="en-US" w:eastAsia="zh-CN" w:bidi="ar"/>
              </w:rPr>
              <w:t/>
              <w:t>2024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false"/>
            <w:vAlign w:val="center"/>
          </w:tcPr>
          <w:p w14:paraId="1B7004F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4727333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c>
          <w:tcPr>
            <w:tcW w:w="425" w:type="pct"/>
            <w:tcBorders>
              <w:top w:val="single" w:color="auto" w:sz="4" w:space="0"/>
              <w:left w:val="single" w:color="auto" w:sz="4" w:space="0"/>
              <w:bottom w:val="single" w:color="auto" w:sz="4" w:space="0"/>
              <w:right w:val="single" w:color="auto" w:sz="4" w:space="0"/>
            </w:tcBorders>
            <w:noWrap w:val="false"/>
            <w:vAlign w:val="center"/>
          </w:tcPr>
          <w:p w14:paraId="6FE3229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lang w:val="en-US" w:eastAsia="zh-CN"/>
              </w:rPr>
            </w:pPr>
            <w:r>
              <w:rPr>
                <w:rFonts w:hint="eastAsia" w:ascii="方正仿宋_GB2312" w:hAnsi="方正仿宋_GB2312" w:eastAsia="方正仿宋_GB2312" w:cs="方正仿宋_GB2312"/>
                <w:i w:val="false"/>
                <w:iCs w:val="false"/>
                <w:color w:val="000000"/>
                <w:sz w:val="18"/>
                <w:szCs w:val="18"/>
                <w:highlight w:val="none"/>
                <w:u w:val="none"/>
                <w:lang w:val="en-US" w:eastAsia="zh-CN"/>
              </w:rPr>
              <w:t/>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xml:space="preserve"/>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false"/>
                <w:iCs w:val="false"/>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false"/>
                <w:iCs w:val="false"/>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false"/>
                <w:iCs w:val="false"/>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false"/>
              <w:keepLines w:val="false"/>
              <w:widowControl/>
              <w:suppressLineNumbers w:val="false"/>
              <w:jc w:val="center"/>
              <w:textAlignment w:val="center"/>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i w:val="false"/>
                <w:iCs w:val="false"/>
                <w:color w:val="000000"/>
                <w:kern w:val="0"/>
                <w:sz w:val="18"/>
                <w:szCs w:val="18"/>
                <w:highlight w:val="none"/>
                <w:u w:val="none"/>
                <w:lang w:val="en-US" w:eastAsia="zh-CN" w:bidi="ar"/>
              </w:rPr>
              <w:t/>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false"/>
              <w:keepLines w:val="false"/>
              <w:widowControl/>
              <w:suppressLineNumbers w:val="false"/>
              <w:jc w:val="left"/>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
              <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false"/>
                <w:iCs w:val="false"/>
                <w:color w:val="000000"/>
                <w:sz w:val="18"/>
                <w:szCs w:val="18"/>
                <w:highlight w:val="none"/>
                <w:u w:val="none"/>
              </w:rPr>
            </w:pPr>
            <w:r>
              <w:rPr>
                <w:rFonts w:hint="default" w:ascii="Times New Roman" w:hAnsi="Times New Roman" w:cs="Times New Roman" w:eastAsiaTheme="minorEastAsia"/>
                <w:sz w:val="18"/>
                <w:szCs w:val="18"/>
                <w:highlight w:val="none"/>
              </w:rPr>
              <w:t/>
              <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false"/>
              <w:keepLines w:val="false"/>
              <w:widowControl/>
              <w:suppressLineNumbers w:val="false"/>
              <w:jc w:val="left"/>
              <w:textAlignment w:val="center"/>
              <w:rPr>
                <w:rFonts w:hint="eastAsia" w:asciiTheme="minorEastAsia" w:hAnsiTheme="minorEastAsia" w:eastAsiaTheme="minorEastAsia" w:cstheme="minorEastAsia"/>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注：本表反映部门本年度一般公共预算财政拨款基本支出明细情况。</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（如无相关数据，则需注明空表列示）</w:t>
            </w:r>
          </w:p>
        </w:tc>
      </w:tr>
    </w:tbl>
    <w:p w14:paraId="6D9C2148">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宋体" w:cs="Times New Roman"/>
                <w:i w:val="false"/>
                <w:iCs w:val="false"/>
                <w:color w:val="000000"/>
                <w:kern w:val="0"/>
                <w:sz w:val="20"/>
                <w:szCs w:val="20"/>
                <w:highlight w:val="none"/>
                <w:u w:val="none"/>
                <w:lang w:val="en-US" w:eastAsia="zh-CN" w:bidi="ar"/>
              </w:rPr>
              <w:t/>
              <w:t>07</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false"/>
              <w:keepLines w:val="false"/>
              <w:widowControl/>
              <w:suppressLineNumbers w:val="false"/>
              <w:jc w:val="lef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部门（单位）：元氏县北褚镇人民政府 </w:t>
            </w:r>
            <w:r>
              <w:rPr>
                <w:rFonts w:hint="eastAsia" w:ascii="宋体" w:hAnsi="宋体" w:eastAsia="宋体" w:cs="宋体"/>
                <w:i w:val="false"/>
                <w:iCs w:val="false"/>
                <w:color w:val="000000"/>
                <w:kern w:val="0"/>
                <w:sz w:val="20"/>
                <w:szCs w:val="20"/>
                <w:highlight w:val="none"/>
                <w:u w:val="none"/>
                <w:lang w:val="en-US" w:eastAsia="zh-CN" w:bidi="ar"/>
              </w:rPr>
              <w:t xml:space="preserve"/>
              <w:t xml:space="preserve">                                                                                     </w:t>
            </w:r>
          </w:p>
        </w:tc>
        <w:tc>
          <w:tcPr>
            <w:tcW w:w="1217" w:type="pct"/>
            <w:gridSpan w:val="3"/>
            <w:tcBorders>
              <w:top w:val="nil"/>
              <w:left w:val="nil"/>
              <w:bottom w:val="single" w:color="auto" w:sz="4" w:space="0"/>
              <w:right w:val="nil"/>
            </w:tcBorders>
            <w:noWrap/>
            <w:vAlign w:val="bottom"/>
          </w:tcPr>
          <w:p w14:paraId="104C1B53">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854" w:type="pct"/>
            <w:gridSpan w:val="3"/>
            <w:tcBorders>
              <w:top w:val="nil"/>
              <w:left w:val="nil"/>
              <w:bottom w:val="single" w:color="auto" w:sz="4" w:space="0"/>
              <w:right w:val="nil"/>
            </w:tcBorders>
            <w:noWrap/>
            <w:vAlign w:val="bottom"/>
          </w:tcPr>
          <w:p w14:paraId="14CFDBAD">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false"/>
            <w:vAlign w:val="center"/>
          </w:tcPr>
          <w:p w14:paraId="0EE461A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w:t>
            </w:r>
          </w:p>
        </w:tc>
        <w:tc>
          <w:tcPr>
            <w:tcW w:w="623" w:type="pct"/>
            <w:vMerge w:val="restart"/>
            <w:tcBorders>
              <w:top w:val="single" w:color="auto" w:sz="4" w:space="0"/>
              <w:left w:val="nil"/>
              <w:bottom w:val="single" w:color="000000" w:sz="4" w:space="0"/>
              <w:right w:val="single" w:color="000000" w:sz="4" w:space="0"/>
            </w:tcBorders>
            <w:noWrap w:val="false"/>
            <w:vAlign w:val="center"/>
          </w:tcPr>
          <w:p w14:paraId="4F4F1DC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年初结转和结余</w:t>
            </w:r>
          </w:p>
        </w:tc>
        <w:tc>
          <w:tcPr>
            <w:tcW w:w="489" w:type="pct"/>
            <w:vMerge w:val="restart"/>
            <w:tcBorders>
              <w:top w:val="single" w:color="auto" w:sz="4" w:space="0"/>
              <w:left w:val="nil"/>
              <w:bottom w:val="single" w:color="000000" w:sz="4" w:space="0"/>
              <w:right w:val="single" w:color="000000" w:sz="4" w:space="0"/>
            </w:tcBorders>
            <w:noWrap w:val="false"/>
            <w:vAlign w:val="center"/>
          </w:tcPr>
          <w:p w14:paraId="169DCD5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本年收入</w:t>
            </w:r>
          </w:p>
        </w:tc>
        <w:tc>
          <w:tcPr>
            <w:tcW w:w="1609" w:type="pct"/>
            <w:gridSpan w:val="4"/>
            <w:tcBorders>
              <w:top w:val="single" w:color="auto" w:sz="4" w:space="0"/>
              <w:left w:val="nil"/>
              <w:bottom w:val="single" w:color="000000" w:sz="4" w:space="0"/>
              <w:right w:val="single" w:color="000000" w:sz="4" w:space="0"/>
            </w:tcBorders>
            <w:noWrap w:val="false"/>
            <w:vAlign w:val="center"/>
          </w:tcPr>
          <w:p w14:paraId="54F245A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本年支出</w:t>
            </w:r>
          </w:p>
        </w:tc>
        <w:tc>
          <w:tcPr>
            <w:tcW w:w="973" w:type="pct"/>
            <w:vMerge w:val="restart"/>
            <w:tcBorders>
              <w:top w:val="single" w:color="auto" w:sz="4" w:space="0"/>
              <w:left w:val="nil"/>
              <w:right w:val="single" w:color="000000" w:sz="4" w:space="0"/>
            </w:tcBorders>
            <w:noWrap w:val="false"/>
            <w:vAlign w:val="center"/>
          </w:tcPr>
          <w:p w14:paraId="00EC97E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false"/>
            <w:vAlign w:val="center"/>
          </w:tcPr>
          <w:p w14:paraId="4751344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703" w:type="pct"/>
            <w:vMerge w:val="restart"/>
            <w:tcBorders>
              <w:top w:val="nil"/>
              <w:left w:val="nil"/>
              <w:bottom w:val="single" w:color="000000" w:sz="4" w:space="0"/>
              <w:right w:val="single" w:color="000000" w:sz="4" w:space="0"/>
            </w:tcBorders>
            <w:noWrap w:val="false"/>
            <w:vAlign w:val="center"/>
          </w:tcPr>
          <w:p w14:paraId="689BDC2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科目名称</w:t>
            </w: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50124FB6">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2AE1EDB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false"/>
            <w:vAlign w:val="center"/>
          </w:tcPr>
          <w:p w14:paraId="707614A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小计</w:t>
            </w:r>
          </w:p>
        </w:tc>
        <w:tc>
          <w:tcPr>
            <w:tcW w:w="534" w:type="pct"/>
            <w:gridSpan w:val="2"/>
            <w:vMerge w:val="restart"/>
            <w:tcBorders>
              <w:top w:val="nil"/>
              <w:left w:val="nil"/>
              <w:bottom w:val="single" w:color="000000" w:sz="4" w:space="0"/>
              <w:right w:val="single" w:color="000000" w:sz="4" w:space="0"/>
            </w:tcBorders>
            <w:noWrap w:val="false"/>
            <w:vAlign w:val="center"/>
          </w:tcPr>
          <w:p w14:paraId="27FE875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基本支出</w:t>
            </w:r>
          </w:p>
        </w:tc>
        <w:tc>
          <w:tcPr>
            <w:tcW w:w="546" w:type="pct"/>
            <w:vMerge w:val="restart"/>
            <w:tcBorders>
              <w:top w:val="nil"/>
              <w:left w:val="nil"/>
              <w:bottom w:val="single" w:color="000000" w:sz="4" w:space="0"/>
              <w:right w:val="single" w:color="000000" w:sz="4" w:space="0"/>
            </w:tcBorders>
            <w:noWrap w:val="false"/>
            <w:vAlign w:val="center"/>
          </w:tcPr>
          <w:p w14:paraId="62A42465">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项目支出</w:t>
            </w:r>
          </w:p>
        </w:tc>
        <w:tc>
          <w:tcPr>
            <w:tcW w:w="973" w:type="pct"/>
            <w:vMerge w:val="continue"/>
            <w:tcBorders>
              <w:left w:val="nil"/>
              <w:right w:val="single" w:color="000000" w:sz="4" w:space="0"/>
            </w:tcBorders>
            <w:noWrap w:val="false"/>
            <w:vAlign w:val="center"/>
          </w:tcPr>
          <w:p w14:paraId="08E01B2A">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p w14:paraId="259B30B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结转</w:t>
            </w:r>
          </w:p>
          <w:p w14:paraId="219C4548">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false"/>
            <w:vAlign w:val="center"/>
          </w:tcPr>
          <w:p w14:paraId="0FD2D9B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false"/>
            <w:vAlign w:val="center"/>
          </w:tcPr>
          <w:p w14:paraId="22D0721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4F7F6E63">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43B8F48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72C23BD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505869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413613D">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right w:val="single" w:color="000000" w:sz="4" w:space="0"/>
            </w:tcBorders>
            <w:noWrap w:val="false"/>
            <w:vAlign w:val="center"/>
          </w:tcPr>
          <w:p w14:paraId="23E146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false"/>
            <w:vAlign w:val="center"/>
          </w:tcPr>
          <w:p w14:paraId="53AC66D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false"/>
            <w:vAlign w:val="center"/>
          </w:tcPr>
          <w:p w14:paraId="04014D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false"/>
            <w:vAlign w:val="center"/>
          </w:tcPr>
          <w:p w14:paraId="0C550A1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false"/>
            <w:vAlign w:val="center"/>
          </w:tcPr>
          <w:p w14:paraId="561ECE8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false"/>
            <w:vAlign w:val="center"/>
          </w:tcPr>
          <w:p w14:paraId="2398154F">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false"/>
            <w:vAlign w:val="center"/>
          </w:tcPr>
          <w:p w14:paraId="4209B637">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false"/>
            <w:vAlign w:val="center"/>
          </w:tcPr>
          <w:p w14:paraId="19BACD2C">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false"/>
            <w:vAlign w:val="center"/>
          </w:tcPr>
          <w:p w14:paraId="2085DE76">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3A176FE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1</w:t>
            </w:r>
          </w:p>
        </w:tc>
        <w:tc>
          <w:tcPr>
            <w:tcW w:w="489" w:type="pct"/>
            <w:tcBorders>
              <w:top w:val="nil"/>
              <w:left w:val="nil"/>
              <w:bottom w:val="single" w:color="000000" w:sz="4" w:space="0"/>
              <w:right w:val="single" w:color="000000" w:sz="4" w:space="0"/>
            </w:tcBorders>
            <w:noWrap/>
            <w:vAlign w:val="center"/>
          </w:tcPr>
          <w:p w14:paraId="22EE390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2</w:t>
            </w:r>
          </w:p>
        </w:tc>
        <w:tc>
          <w:tcPr>
            <w:tcW w:w="528" w:type="pct"/>
            <w:tcBorders>
              <w:top w:val="nil"/>
              <w:left w:val="nil"/>
              <w:bottom w:val="single" w:color="000000" w:sz="4" w:space="0"/>
              <w:right w:val="single" w:color="000000" w:sz="4" w:space="0"/>
            </w:tcBorders>
            <w:noWrap/>
            <w:vAlign w:val="center"/>
          </w:tcPr>
          <w:p w14:paraId="09179A7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3</w:t>
            </w:r>
          </w:p>
        </w:tc>
        <w:tc>
          <w:tcPr>
            <w:tcW w:w="534" w:type="pct"/>
            <w:gridSpan w:val="2"/>
            <w:tcBorders>
              <w:top w:val="nil"/>
              <w:left w:val="nil"/>
              <w:bottom w:val="single" w:color="000000" w:sz="4" w:space="0"/>
              <w:right w:val="single" w:color="000000" w:sz="4" w:space="0"/>
            </w:tcBorders>
            <w:noWrap/>
            <w:vAlign w:val="center"/>
          </w:tcPr>
          <w:p w14:paraId="516DBD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4</w:t>
            </w:r>
          </w:p>
        </w:tc>
        <w:tc>
          <w:tcPr>
            <w:tcW w:w="546" w:type="pct"/>
            <w:tcBorders>
              <w:top w:val="nil"/>
              <w:left w:val="nil"/>
              <w:bottom w:val="single" w:color="000000" w:sz="4" w:space="0"/>
              <w:right w:val="single" w:color="000000" w:sz="4" w:space="0"/>
            </w:tcBorders>
            <w:noWrap/>
            <w:vAlign w:val="center"/>
          </w:tcPr>
          <w:p w14:paraId="35B4338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rPr>
            </w:pP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5</w:t>
            </w:r>
          </w:p>
        </w:tc>
        <w:tc>
          <w:tcPr>
            <w:tcW w:w="973" w:type="pct"/>
            <w:tcBorders>
              <w:top w:val="nil"/>
              <w:left w:val="nil"/>
              <w:bottom w:val="single" w:color="000000" w:sz="4" w:space="0"/>
              <w:right w:val="single" w:color="000000" w:sz="4" w:space="0"/>
            </w:tcBorders>
            <w:noWrap/>
            <w:vAlign w:val="center"/>
          </w:tcPr>
          <w:p w14:paraId="52B1AE72">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20"/>
                <w:szCs w:val="20"/>
                <w:highlight w:val="none"/>
                <w:u w:val="none"/>
                <w:lang w:val="en-US" w:eastAsia="zh-CN"/>
              </w:rPr>
            </w:pPr>
            <w:r>
              <w:rPr>
                <w:rFonts w:hint="default" w:ascii="Times New Roman" w:hAnsi="Times New Roman" w:eastAsia="方正仿宋_GB2312" w:cs="Times New Roman"/>
                <w:i w:val="false"/>
                <w:iCs w:val="false"/>
                <w:color w:val="000000"/>
                <w:sz w:val="20"/>
                <w:szCs w:val="20"/>
                <w:highlight w:val="none"/>
                <w:u w:val="none"/>
                <w:lang w:val="en-US" w:eastAsia="zh-CN"/>
              </w:rPr>
              <w:t/>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false"/>
            <w:vAlign w:val="center"/>
          </w:tcPr>
          <w:p w14:paraId="53B6FC0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br w:type="page"/>
            </w:r>
          </w:p>
        </w:tc>
      </w:tr>
    </w:tbl>
    <w:p w14:paraId="390B949B">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5"/>
        <w:gridCol w:w="726"/>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0"/>
            <w:tcBorders>
              <w:top w:val="nil"/>
              <w:left w:val="nil"/>
              <w:bottom w:val="nil"/>
              <w:right w:val="nil"/>
            </w:tcBorders>
            <w:noWrap/>
            <w:vAlign w:val="bottom"/>
          </w:tcPr>
          <w:p w14:paraId="6120D892">
            <w:pPr>
              <w:keepNext w:val="false"/>
              <w:keepLines w:val="false"/>
              <w:widowControl/>
              <w:suppressLineNumbers w:val="false"/>
              <w:jc w:val="center"/>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0"/>
            <w:tcBorders>
              <w:top w:val="nil"/>
              <w:left w:val="nil"/>
              <w:bottom w:val="nil"/>
              <w:right w:val="nil"/>
            </w:tcBorders>
            <w:noWrap/>
            <w:vAlign w:val="bottom"/>
          </w:tcPr>
          <w:p w14:paraId="70B9454C">
            <w:pPr>
              <w:keepNext w:val="false"/>
              <w:keepLines w:val="false"/>
              <w:widowControl/>
              <w:suppressLineNumbers w:val="false"/>
              <w:jc w:val="right"/>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公开</w:t>
            </w:r>
            <w:r>
              <w:rPr>
                <w:rFonts w:hint="default" w:ascii="Times New Roman" w:hAnsi="Times New Roman" w:eastAsia="方正仿宋_GB2312" w:cs="Times New Roman"/>
                <w:i w:val="false"/>
                <w:iCs w:val="false"/>
                <w:color w:val="000000"/>
                <w:kern w:val="0"/>
                <w:sz w:val="20"/>
                <w:szCs w:val="20"/>
                <w:highlight w:val="none"/>
                <w:u w:val="none"/>
                <w:lang w:val="en-US" w:eastAsia="zh-CN" w:bidi="ar"/>
              </w:rPr>
              <w:t/>
              <w:t>08</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3"/>
            <w:tcBorders>
              <w:top w:val="nil"/>
              <w:left w:val="nil"/>
              <w:bottom w:val="single" w:color="auto" w:sz="4" w:space="0"/>
              <w:right w:val="nil"/>
            </w:tcBorders>
            <w:noWrap/>
            <w:vAlign w:val="bottom"/>
          </w:tcPr>
          <w:p w14:paraId="26CB50F7">
            <w:pPr>
              <w:keepNext w:val="false"/>
              <w:keepLines w:val="false"/>
              <w:widowControl/>
              <w:suppressLineNumbers w:val="false"/>
              <w:jc w:val="both"/>
              <w:textAlignment w:val="bottom"/>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部门（单位）：元氏县北褚镇人民政府</w:t>
            </w:r>
          </w:p>
        </w:tc>
        <w:tc>
          <w:tcPr>
            <w:tcW w:w="1421" w:type="pct"/>
            <w:gridSpan w:val="4"/>
            <w:tcBorders>
              <w:top w:val="nil"/>
              <w:left w:val="nil"/>
              <w:bottom w:val="single" w:color="auto" w:sz="4" w:space="0"/>
              <w:right w:val="nil"/>
            </w:tcBorders>
            <w:noWrap/>
            <w:vAlign w:val="bottom"/>
          </w:tcPr>
          <w:p w14:paraId="616B6621">
            <w:pPr>
              <w:keepNext w:val="false"/>
              <w:keepLines w:val="false"/>
              <w:widowControl/>
              <w:suppressLineNumbers w:val="false"/>
              <w:jc w:val="center"/>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default" w:ascii="Times New Roman" w:hAnsi="Times New Roman" w:eastAsia="宋体" w:cs="Times New Roman"/>
                <w:i w:val="false"/>
                <w:iCs w:val="false"/>
                <w:color w:val="000000"/>
                <w:kern w:val="0"/>
                <w:sz w:val="20"/>
                <w:szCs w:val="20"/>
                <w:highlight w:val="none"/>
                <w:u w:val="none"/>
                <w:lang w:val="en-US" w:eastAsia="zh-CN" w:bidi="ar"/>
              </w:rPr>
              <w:t/>
              <w:t>202</w:t>
            </w:r>
            <w:r>
              <w:rPr>
                <w:rFonts w:hint="eastAsia" w:ascii="Times New Roman" w:hAnsi="Times New Roman" w:eastAsia="宋体" w:cs="Times New Roman"/>
                <w:i w:val="false"/>
                <w:iCs w:val="false"/>
                <w:color w:val="000000"/>
                <w:kern w:val="0"/>
                <w:sz w:val="20"/>
                <w:szCs w:val="20"/>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年度</w:t>
            </w:r>
          </w:p>
        </w:tc>
        <w:tc>
          <w:tcPr>
            <w:tcW w:w="1603" w:type="pct"/>
            <w:gridSpan w:val="3"/>
            <w:tcBorders>
              <w:top w:val="nil"/>
              <w:left w:val="nil"/>
              <w:bottom w:val="single" w:color="auto" w:sz="4" w:space="0"/>
              <w:right w:val="nil"/>
            </w:tcBorders>
            <w:noWrap/>
            <w:vAlign w:val="bottom"/>
          </w:tcPr>
          <w:p w14:paraId="7F819FFC">
            <w:pPr>
              <w:keepNext w:val="false"/>
              <w:keepLines w:val="false"/>
              <w:widowControl/>
              <w:suppressLineNumbers w:val="false"/>
              <w:jc w:val="right"/>
              <w:textAlignment w:val="bottom"/>
              <w:rPr>
                <w:rFonts w:hint="default" w:ascii="宋体" w:hAnsi="宋体" w:eastAsia="宋体" w:cs="宋体"/>
                <w:i w:val="false"/>
                <w:iCs w:val="false"/>
                <w:color w:val="000000"/>
                <w:kern w:val="0"/>
                <w:sz w:val="20"/>
                <w:szCs w:val="20"/>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restart"/>
            <w:tcBorders>
              <w:top w:val="single" w:color="auto" w:sz="4" w:space="0"/>
              <w:left w:val="single" w:color="auto" w:sz="4" w:space="0"/>
              <w:bottom w:val="single" w:color="auto" w:sz="4" w:space="0"/>
              <w:right w:val="single" w:color="auto" w:sz="4" w:space="0"/>
            </w:tcBorders>
            <w:noWrap w:val="false"/>
            <w:vAlign w:val="center"/>
          </w:tcPr>
          <w:p w14:paraId="5415D844">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xml:space="preserve"/>
              <w:t xml:space="preserve"> 项目</w:t>
            </w:r>
          </w:p>
        </w:tc>
        <w:tc>
          <w:tcPr>
            <w:tcW w:w="2337" w:type="pct"/>
            <w:gridSpan w:val="6"/>
            <w:vMerge w:val="restart"/>
            <w:tcBorders>
              <w:top w:val="single" w:color="auto" w:sz="4" w:space="0"/>
              <w:left w:val="single" w:color="auto" w:sz="4" w:space="0"/>
              <w:right w:val="single" w:color="000000" w:sz="4" w:space="0"/>
            </w:tcBorders>
            <w:noWrap w:val="false"/>
            <w:vAlign w:val="center"/>
          </w:tcPr>
          <w:p w14:paraId="2669862F">
            <w:pPr>
              <w:keepNext w:val="false"/>
              <w:keepLines w:val="false"/>
              <w:widowControl/>
              <w:suppressLineNumbers w:val="false"/>
              <w:jc w:val="center"/>
              <w:textAlignment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4"/>
            <w:vMerge w:val="continue"/>
            <w:tcBorders>
              <w:top w:val="single" w:color="auto" w:sz="4" w:space="0"/>
              <w:left w:val="single" w:color="auto" w:sz="4" w:space="0"/>
              <w:bottom w:val="single" w:color="auto" w:sz="4" w:space="0"/>
              <w:right w:val="single" w:color="auto" w:sz="4" w:space="0"/>
            </w:tcBorders>
            <w:noWrap w:val="false"/>
            <w:vAlign w:val="center"/>
          </w:tcPr>
          <w:p w14:paraId="4640DB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false"/>
            <w:vAlign w:val="center"/>
          </w:tcPr>
          <w:p w14:paraId="333C85B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false"/>
            <w:vAlign w:val="center"/>
          </w:tcPr>
          <w:p w14:paraId="30AF09EB">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科目代码</w:t>
            </w:r>
          </w:p>
        </w:tc>
        <w:tc>
          <w:tcPr>
            <w:tcW w:w="1074" w:type="pct"/>
            <w:gridSpan w:val="3"/>
            <w:vMerge w:val="restart"/>
            <w:tcBorders>
              <w:top w:val="single" w:color="auto" w:sz="4" w:space="0"/>
              <w:left w:val="single" w:color="auto" w:sz="4" w:space="0"/>
              <w:bottom w:val="single" w:color="auto" w:sz="4" w:space="0"/>
              <w:right w:val="single" w:color="auto" w:sz="4" w:space="0"/>
            </w:tcBorders>
            <w:noWrap w:val="false"/>
            <w:vAlign w:val="center"/>
          </w:tcPr>
          <w:p w14:paraId="62D03734">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科目名称</w:t>
            </w:r>
          </w:p>
        </w:tc>
        <w:tc>
          <w:tcPr>
            <w:tcW w:w="709" w:type="pct"/>
            <w:gridSpan w:val="2"/>
            <w:vMerge w:val="restart"/>
            <w:tcBorders>
              <w:top w:val="nil"/>
              <w:left w:val="single" w:color="auto" w:sz="4" w:space="0"/>
              <w:right w:val="single" w:color="000000" w:sz="4" w:space="0"/>
            </w:tcBorders>
            <w:noWrap w:val="false"/>
            <w:vAlign w:val="center"/>
          </w:tcPr>
          <w:p w14:paraId="27C542AE">
            <w:pPr>
              <w:jc w:val="center"/>
              <w:rPr>
                <w:rFonts w:hint="eastAsia"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合计</w:t>
            </w:r>
          </w:p>
        </w:tc>
        <w:tc>
          <w:tcPr>
            <w:tcW w:w="709" w:type="pct"/>
            <w:gridSpan w:val="3"/>
            <w:vMerge w:val="restart"/>
            <w:tcBorders>
              <w:top w:val="nil"/>
              <w:left w:val="nil"/>
              <w:right w:val="single" w:color="000000" w:sz="4" w:space="0"/>
            </w:tcBorders>
            <w:noWrap w:val="false"/>
            <w:vAlign w:val="center"/>
          </w:tcPr>
          <w:p w14:paraId="1DFC0105">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基本支出</w:t>
            </w:r>
          </w:p>
        </w:tc>
        <w:tc>
          <w:tcPr>
            <w:tcW w:w="919" w:type="pct"/>
            <w:vMerge w:val="restart"/>
            <w:tcBorders>
              <w:top w:val="nil"/>
              <w:left w:val="nil"/>
              <w:right w:val="single" w:color="000000" w:sz="4" w:space="0"/>
            </w:tcBorders>
            <w:noWrap w:val="false"/>
            <w:vAlign w:val="center"/>
          </w:tcPr>
          <w:p w14:paraId="3F171B63">
            <w:pPr>
              <w:jc w:val="center"/>
              <w:rPr>
                <w:rFonts w:hint="default" w:ascii="方正仿宋_GB2312" w:hAnsi="方正仿宋_GB2312" w:eastAsia="方正仿宋_GB2312" w:cs="方正仿宋_GB2312"/>
                <w:i w:val="false"/>
                <w:iCs w:val="false"/>
                <w:color w:val="000000"/>
                <w:sz w:val="20"/>
                <w:szCs w:val="20"/>
                <w:highlight w:val="none"/>
                <w:u w:val="none"/>
                <w:lang w:val="en-US" w:eastAsia="zh-CN"/>
              </w:rPr>
            </w:pPr>
            <w:r>
              <w:rPr>
                <w:rFonts w:hint="eastAsia" w:ascii="方正仿宋_GB2312" w:hAnsi="方正仿宋_GB2312" w:eastAsia="方正仿宋_GB2312" w:cs="方正仿宋_GB2312"/>
                <w:i w:val="false"/>
                <w:iCs w:val="false"/>
                <w:color w:val="000000"/>
                <w:sz w:val="20"/>
                <w:szCs w:val="20"/>
                <w:highlight w:val="none"/>
                <w:u w:val="none"/>
                <w:lang w:val="en-US" w:eastAsia="zh-CN"/>
              </w:rPr>
              <w:t/>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false"/>
            <w:vAlign w:val="center"/>
          </w:tcPr>
          <w:p w14:paraId="562E7320">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1074" w:type="pct"/>
            <w:gridSpan w:val="3"/>
            <w:vMerge w:val="continue"/>
            <w:tcBorders>
              <w:top w:val="single" w:color="auto" w:sz="4" w:space="0"/>
              <w:left w:val="nil"/>
              <w:bottom w:val="single" w:color="auto" w:sz="4" w:space="0"/>
              <w:right w:val="single" w:color="auto" w:sz="4" w:space="0"/>
            </w:tcBorders>
            <w:noWrap w:val="false"/>
            <w:vAlign w:val="center"/>
          </w:tcPr>
          <w:p w14:paraId="6B03F0CB">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false"/>
            <w:vAlign w:val="center"/>
          </w:tcPr>
          <w:p w14:paraId="00919C0A">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false"/>
            <w:vAlign w:val="center"/>
          </w:tcPr>
          <w:p w14:paraId="7B4E4AF5">
            <w:pPr>
              <w:jc w:val="center"/>
              <w:rPr>
                <w:rFonts w:hint="eastAsia" w:ascii="方正仿宋_GB2312" w:hAnsi="方正仿宋_GB2312" w:eastAsia="方正仿宋_GB2312" w:cs="方正仿宋_GB2312"/>
                <w:i w:val="false"/>
                <w:iCs w:val="false"/>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false"/>
            <w:vAlign w:val="center"/>
          </w:tcPr>
          <w:p w14:paraId="6EFCB925">
            <w:pPr>
              <w:jc w:val="center"/>
              <w:rPr>
                <w:rFonts w:hint="eastAsia" w:ascii="方正仿宋_GB2312" w:hAnsi="方正仿宋_GB2312" w:eastAsia="方正仿宋_GB2312" w:cs="方正仿宋_GB2312"/>
                <w:i w:val="false"/>
                <w:iCs w:val="false"/>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auto" w:sz="4" w:space="0"/>
              <w:left w:val="single" w:color="auto" w:sz="4" w:space="0"/>
              <w:bottom w:val="single" w:color="000000" w:sz="4" w:space="0"/>
              <w:right w:val="single" w:color="auto" w:sz="4" w:space="0"/>
            </w:tcBorders>
            <w:noWrap/>
            <w:vAlign w:val="center"/>
          </w:tcPr>
          <w:p w14:paraId="2C72D919">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1</w:t>
            </w:r>
          </w:p>
        </w:tc>
        <w:tc>
          <w:tcPr>
            <w:tcW w:w="706" w:type="pct"/>
            <w:gridSpan w:val="3"/>
            <w:tcBorders>
              <w:top w:val="nil"/>
              <w:left w:val="nil"/>
              <w:bottom w:val="single" w:color="000000" w:sz="4" w:space="0"/>
              <w:right w:val="single" w:color="000000" w:sz="4" w:space="0"/>
            </w:tcBorders>
            <w:noWrap/>
            <w:vAlign w:val="center"/>
          </w:tcPr>
          <w:p w14:paraId="605ACA55">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2</w:t>
            </w:r>
          </w:p>
        </w:tc>
        <w:tc>
          <w:tcPr>
            <w:tcW w:w="924" w:type="pct"/>
            <w:gridSpan w:val="2"/>
            <w:tcBorders>
              <w:top w:val="nil"/>
              <w:left w:val="nil"/>
              <w:bottom w:val="single" w:color="000000" w:sz="4" w:space="0"/>
              <w:right w:val="single" w:color="000000" w:sz="4" w:space="0"/>
            </w:tcBorders>
            <w:noWrap/>
            <w:vAlign w:val="center"/>
          </w:tcPr>
          <w:p w14:paraId="4F242353">
            <w:pPr>
              <w:keepNext w:val="false"/>
              <w:keepLines w:val="false"/>
              <w:widowControl/>
              <w:suppressLineNumbers w:val="false"/>
              <w:jc w:val="center"/>
              <w:textAlignment w:val="center"/>
              <w:rPr>
                <w:rFonts w:hint="eastAsia" w:ascii="Times New Roman" w:hAnsi="Times New Roman" w:eastAsia="方正仿宋_GB2312"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4"/>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false"/>
                <w:iCs w:val="false"/>
                <w:color w:val="000000"/>
                <w:sz w:val="20"/>
                <w:szCs w:val="20"/>
                <w:highlight w:val="none"/>
                <w:u w:val="none"/>
                <w:lang w:val="en-US" w:eastAsia="zh-CN"/>
              </w:rPr>
            </w:pPr>
            <w:r>
              <w:rPr>
                <w:rFonts w:hint="eastAsia" w:ascii="Times New Roman" w:hAnsi="Times New Roman" w:eastAsia="方正仿宋_GB2312" w:cs="Times New Roman"/>
                <w:i w:val="false"/>
                <w:iCs w:val="false"/>
                <w:color w:val="000000"/>
                <w:sz w:val="20"/>
                <w:szCs w:val="20"/>
                <w:highlight w:val="none"/>
                <w:u w:val="none"/>
                <w:lang w:val="en-US" w:eastAsia="zh-CN"/>
              </w:rPr>
              <w:t/>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false"/>
                <w:iCs w:val="false"/>
                <w:color w:val="000000"/>
                <w:sz w:val="20"/>
                <w:szCs w:val="20"/>
                <w:highlight w:val="none"/>
                <w:u w:val="none"/>
              </w:rPr>
            </w:pPr>
            <w:r>
              <w:rPr>
                <w:rFonts w:hint="default" w:ascii="Times New Roman" w:hAnsi="Times New Roman" w:eastAsia="宋体" w:cs="Times New Roman"/>
                <w:i w:val="false"/>
                <w:iCs w:val="false"/>
                <w:color w:val="000000"/>
                <w:sz w:val="20"/>
                <w:szCs w:val="20"/>
                <w:highlight w:val="none"/>
                <w:u w:val="none"/>
              </w:rPr>
              <w:t/>
              <w:t/>
            </w: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0"/>
            <w:tcBorders>
              <w:top w:val="nil"/>
              <w:left w:val="nil"/>
              <w:bottom w:val="nil"/>
              <w:right w:val="nil"/>
            </w:tcBorders>
            <w:noWrap/>
            <w:vAlign w:val="center"/>
          </w:tcPr>
          <w:p w14:paraId="01BC9E67">
            <w:pPr>
              <w:keepNext w:val="false"/>
              <w:keepLines w:val="false"/>
              <w:widowControl/>
              <w:suppressLineNumbers w:val="false"/>
              <w:jc w:val="left"/>
              <w:textAlignment w:val="center"/>
              <w:rPr>
                <w:rFonts w:hint="eastAsia" w:ascii="宋体" w:hAnsi="宋体" w:eastAsia="宋体" w:cs="宋体"/>
                <w:i w:val="false"/>
                <w:iCs w:val="false"/>
                <w:color w:val="000000"/>
                <w:sz w:val="20"/>
                <w:szCs w:val="20"/>
                <w:highlight w:val="none"/>
                <w:u w:val="none"/>
              </w:rPr>
            </w:pP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注：本表反映部门本年度国有资本经营预算财政拨款支出情况。（如无相关数据，则需注明空表列示）</w:t>
            </w:r>
          </w:p>
        </w:tc>
      </w:tr>
    </w:tbl>
    <w:p w14:paraId="313A4E1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false"/>
              <w:keepLines w:val="false"/>
              <w:widowControl/>
              <w:suppressLineNumbers w:val="false"/>
              <w:jc w:val="center"/>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b w:val="false"/>
                <w:bCs/>
                <w:color w:val="auto"/>
                <w:kern w:val="0"/>
                <w:sz w:val="32"/>
                <w:szCs w:val="32"/>
                <w:highlight w:val="none"/>
                <w:lang w:val="en-US" w:eastAsia="zh-CN"/>
              </w:rPr>
              <w:t/>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false"/>
              <w:keepLines w:val="false"/>
              <w:widowControl/>
              <w:suppressLineNumbers w:val="false"/>
              <w:jc w:val="righ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公开</w:t>
            </w: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09</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false"/>
              <w:keepLines w:val="false"/>
              <w:widowControl/>
              <w:suppressLineNumbers w:val="false"/>
              <w:jc w:val="left"/>
              <w:textAlignment w:val="bottom"/>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部门（单位）：元氏县北褚镇人民政府</w:t>
            </w:r>
          </w:p>
        </w:tc>
        <w:tc>
          <w:tcPr>
            <w:tcW w:w="933" w:type="pct"/>
            <w:gridSpan w:val="3"/>
            <w:tcBorders>
              <w:top w:val="nil"/>
              <w:left w:val="nil"/>
              <w:bottom w:val="single" w:color="auto" w:sz="4" w:space="0"/>
              <w:right w:val="nil"/>
            </w:tcBorders>
            <w:noWrap/>
            <w:vAlign w:val="bottom"/>
          </w:tcPr>
          <w:p w14:paraId="701DA5D1">
            <w:pPr>
              <w:keepNext w:val="false"/>
              <w:keepLines w:val="false"/>
              <w:widowControl/>
              <w:suppressLineNumbers w:val="false"/>
              <w:jc w:val="center"/>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default" w:ascii="Times New Roman" w:hAnsi="Times New Roman" w:eastAsia="宋体" w:cs="Times New Roman"/>
                <w:i w:val="false"/>
                <w:iCs w:val="false"/>
                <w:color w:val="000000"/>
                <w:kern w:val="0"/>
                <w:sz w:val="18"/>
                <w:szCs w:val="18"/>
                <w:highlight w:val="none"/>
                <w:u w:val="none"/>
                <w:lang w:val="en-US" w:eastAsia="zh-CN" w:bidi="ar"/>
              </w:rPr>
              <w:t/>
              <w:t>202</w:t>
            </w:r>
            <w:r>
              <w:rPr>
                <w:rFonts w:hint="eastAsia" w:ascii="Times New Roman" w:hAnsi="Times New Roman" w:eastAsia="宋体" w:cs="Times New Roman"/>
                <w:i w:val="false"/>
                <w:iCs w:val="false"/>
                <w:color w:val="000000"/>
                <w:kern w:val="0"/>
                <w:sz w:val="18"/>
                <w:szCs w:val="18"/>
                <w:highlight w:val="none"/>
                <w:u w:val="none"/>
                <w:lang w:val="en-US" w:eastAsia="zh-CN" w:bidi="ar"/>
              </w:rPr>
              <w:t/>
              <w:t>4</w:t>
            </w: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年度</w:t>
            </w:r>
          </w:p>
        </w:tc>
        <w:tc>
          <w:tcPr>
            <w:tcW w:w="2129" w:type="pct"/>
            <w:gridSpan w:val="6"/>
            <w:tcBorders>
              <w:top w:val="nil"/>
              <w:left w:val="nil"/>
              <w:bottom w:val="single" w:color="auto" w:sz="4" w:space="0"/>
              <w:right w:val="nil"/>
            </w:tcBorders>
            <w:noWrap/>
            <w:vAlign w:val="bottom"/>
          </w:tcPr>
          <w:p w14:paraId="4C27C4B7">
            <w:pPr>
              <w:keepNext w:val="false"/>
              <w:keepLines w:val="false"/>
              <w:widowControl/>
              <w:suppressLineNumbers w:val="false"/>
              <w:jc w:val="right"/>
              <w:textAlignment w:val="bottom"/>
              <w:rPr>
                <w:rFonts w:hint="default" w:ascii="宋体" w:hAnsi="宋体" w:eastAsia="宋体" w:cs="宋体"/>
                <w:i w:val="false"/>
                <w:iCs w:val="false"/>
                <w:color w:val="000000"/>
                <w:kern w:val="0"/>
                <w:sz w:val="18"/>
                <w:szCs w:val="18"/>
                <w:highlight w:val="none"/>
                <w:u w:val="none"/>
                <w:lang w:val="en-US" w:eastAsia="zh-CN" w:bidi="ar"/>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07" w:type="pct"/>
            <w:tcBorders>
              <w:top w:val="nil"/>
              <w:left w:val="nil"/>
              <w:bottom w:val="single" w:color="000000" w:sz="4" w:space="0"/>
              <w:right w:val="single" w:color="000000" w:sz="4" w:space="0"/>
            </w:tcBorders>
            <w:noWrap/>
            <w:vAlign w:val="center"/>
          </w:tcPr>
          <w:p w14:paraId="1DC6F5F6">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false"/>
                <w:iCs w:val="false"/>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小计</w:t>
            </w:r>
          </w:p>
        </w:tc>
        <w:tc>
          <w:tcPr>
            <w:tcW w:w="442" w:type="pct"/>
            <w:tcBorders>
              <w:top w:val="nil"/>
              <w:left w:val="nil"/>
              <w:bottom w:val="single" w:color="000000" w:sz="4" w:space="0"/>
              <w:right w:val="single" w:color="000000" w:sz="4" w:space="0"/>
            </w:tcBorders>
            <w:noWrap/>
            <w:vAlign w:val="center"/>
          </w:tcPr>
          <w:p w14:paraId="352B57B3">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公务用车购置费</w:t>
            </w:r>
          </w:p>
        </w:tc>
        <w:tc>
          <w:tcPr>
            <w:tcW w:w="407" w:type="pct"/>
            <w:tcBorders>
              <w:top w:val="nil"/>
              <w:left w:val="nil"/>
              <w:bottom w:val="single" w:color="000000" w:sz="4" w:space="0"/>
              <w:right w:val="single" w:color="000000" w:sz="4" w:space="0"/>
            </w:tcBorders>
            <w:noWrap/>
            <w:vAlign w:val="center"/>
          </w:tcPr>
          <w:p w14:paraId="725924BC">
            <w:pPr>
              <w:keepNext w:val="false"/>
              <w:keepLines w:val="false"/>
              <w:widowControl/>
              <w:suppressLineNumbers w:val="false"/>
              <w:jc w:val="center"/>
              <w:textAlignment w:val="center"/>
              <w:rPr>
                <w:rFonts w:hint="eastAsia" w:ascii="方正仿宋_GB2312" w:hAnsi="方正仿宋_GB2312" w:eastAsia="方正仿宋_GB2312" w:cs="方正仿宋_GB2312"/>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false"/>
                <w:iCs w:val="false"/>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w:t>
            </w:r>
          </w:p>
        </w:tc>
        <w:tc>
          <w:tcPr>
            <w:tcW w:w="528" w:type="pct"/>
            <w:tcBorders>
              <w:top w:val="nil"/>
              <w:left w:val="nil"/>
              <w:bottom w:val="single" w:color="000000" w:sz="4" w:space="0"/>
              <w:right w:val="single" w:color="000000" w:sz="4" w:space="0"/>
            </w:tcBorders>
            <w:noWrap/>
            <w:vAlign w:val="center"/>
          </w:tcPr>
          <w:p w14:paraId="2986BC07">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2</w:t>
            </w:r>
          </w:p>
        </w:tc>
        <w:tc>
          <w:tcPr>
            <w:tcW w:w="350" w:type="pct"/>
            <w:tcBorders>
              <w:top w:val="nil"/>
              <w:left w:val="nil"/>
              <w:bottom w:val="single" w:color="000000" w:sz="4" w:space="0"/>
              <w:right w:val="single" w:color="000000" w:sz="4" w:space="0"/>
            </w:tcBorders>
            <w:noWrap/>
            <w:vAlign w:val="center"/>
          </w:tcPr>
          <w:p w14:paraId="2C2E820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3</w:t>
            </w:r>
          </w:p>
        </w:tc>
        <w:tc>
          <w:tcPr>
            <w:tcW w:w="407" w:type="pct"/>
            <w:tcBorders>
              <w:top w:val="nil"/>
              <w:left w:val="nil"/>
              <w:bottom w:val="single" w:color="000000" w:sz="4" w:space="0"/>
              <w:right w:val="single" w:color="000000" w:sz="4" w:space="0"/>
            </w:tcBorders>
            <w:noWrap/>
            <w:vAlign w:val="center"/>
          </w:tcPr>
          <w:p w14:paraId="70BF42D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4</w:t>
            </w:r>
          </w:p>
        </w:tc>
        <w:tc>
          <w:tcPr>
            <w:tcW w:w="458" w:type="pct"/>
            <w:gridSpan w:val="2"/>
            <w:tcBorders>
              <w:top w:val="nil"/>
              <w:left w:val="nil"/>
              <w:bottom w:val="single" w:color="000000" w:sz="4" w:space="0"/>
              <w:right w:val="single" w:color="000000" w:sz="4" w:space="0"/>
            </w:tcBorders>
            <w:noWrap/>
            <w:vAlign w:val="center"/>
          </w:tcPr>
          <w:p w14:paraId="4C03B626">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5</w:t>
            </w:r>
          </w:p>
        </w:tc>
        <w:tc>
          <w:tcPr>
            <w:tcW w:w="335" w:type="pct"/>
            <w:tcBorders>
              <w:top w:val="nil"/>
              <w:left w:val="nil"/>
              <w:bottom w:val="single" w:color="000000" w:sz="4" w:space="0"/>
              <w:right w:val="single" w:color="000000" w:sz="4" w:space="0"/>
            </w:tcBorders>
            <w:noWrap/>
            <w:vAlign w:val="center"/>
          </w:tcPr>
          <w:p w14:paraId="47A5FB8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6</w:t>
            </w:r>
          </w:p>
        </w:tc>
        <w:tc>
          <w:tcPr>
            <w:tcW w:w="366" w:type="pct"/>
            <w:gridSpan w:val="2"/>
            <w:tcBorders>
              <w:top w:val="nil"/>
              <w:left w:val="nil"/>
              <w:bottom w:val="single" w:color="000000" w:sz="4" w:space="0"/>
              <w:right w:val="single" w:color="000000" w:sz="4" w:space="0"/>
            </w:tcBorders>
            <w:noWrap/>
            <w:vAlign w:val="center"/>
          </w:tcPr>
          <w:p w14:paraId="3A93ED48">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7</w:t>
            </w:r>
          </w:p>
        </w:tc>
        <w:tc>
          <w:tcPr>
            <w:tcW w:w="488" w:type="pct"/>
            <w:tcBorders>
              <w:top w:val="nil"/>
              <w:left w:val="nil"/>
              <w:bottom w:val="single" w:color="000000" w:sz="4" w:space="0"/>
              <w:right w:val="single" w:color="000000" w:sz="4" w:space="0"/>
            </w:tcBorders>
            <w:noWrap/>
            <w:vAlign w:val="center"/>
          </w:tcPr>
          <w:p w14:paraId="53F97F3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8</w:t>
            </w:r>
          </w:p>
        </w:tc>
        <w:tc>
          <w:tcPr>
            <w:tcW w:w="275" w:type="pct"/>
            <w:tcBorders>
              <w:top w:val="nil"/>
              <w:left w:val="nil"/>
              <w:bottom w:val="single" w:color="000000" w:sz="4" w:space="0"/>
              <w:right w:val="single" w:color="000000" w:sz="4" w:space="0"/>
            </w:tcBorders>
            <w:noWrap/>
            <w:vAlign w:val="center"/>
          </w:tcPr>
          <w:p w14:paraId="6D82C27A">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9</w:t>
            </w:r>
          </w:p>
        </w:tc>
        <w:tc>
          <w:tcPr>
            <w:tcW w:w="442" w:type="pct"/>
            <w:tcBorders>
              <w:top w:val="nil"/>
              <w:left w:val="nil"/>
              <w:bottom w:val="single" w:color="000000" w:sz="4" w:space="0"/>
              <w:right w:val="single" w:color="000000" w:sz="4" w:space="0"/>
            </w:tcBorders>
            <w:noWrap/>
            <w:vAlign w:val="center"/>
          </w:tcPr>
          <w:p w14:paraId="0C7ACD5F">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10</w:t>
            </w:r>
          </w:p>
        </w:tc>
        <w:tc>
          <w:tcPr>
            <w:tcW w:w="407" w:type="pct"/>
            <w:tcBorders>
              <w:top w:val="nil"/>
              <w:left w:val="nil"/>
              <w:bottom w:val="single" w:color="000000" w:sz="4" w:space="0"/>
              <w:right w:val="single" w:color="000000" w:sz="4" w:space="0"/>
            </w:tcBorders>
            <w:noWrap/>
            <w:vAlign w:val="center"/>
          </w:tcPr>
          <w:p w14:paraId="21B8D2D0">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11</w:t>
            </w:r>
          </w:p>
        </w:tc>
        <w:tc>
          <w:tcPr>
            <w:tcW w:w="511" w:type="pct"/>
            <w:tcBorders>
              <w:top w:val="nil"/>
              <w:left w:val="nil"/>
              <w:bottom w:val="single" w:color="000000" w:sz="4" w:space="0"/>
              <w:right w:val="single" w:color="000000" w:sz="4" w:space="0"/>
            </w:tcBorders>
            <w:noWrap/>
            <w:vAlign w:val="center"/>
          </w:tcPr>
          <w:p w14:paraId="58EBCB0B">
            <w:pPr>
              <w:keepNext w:val="false"/>
              <w:keepLines w:val="false"/>
              <w:widowControl/>
              <w:suppressLineNumbers w:val="false"/>
              <w:jc w:val="center"/>
              <w:textAlignment w:val="center"/>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kern w:val="0"/>
                <w:sz w:val="18"/>
                <w:szCs w:val="18"/>
                <w:highlight w:val="none"/>
                <w:u w:val="none"/>
                <w:lang w:val="en-US" w:eastAsia="zh-CN" w:bidi="ar"/>
              </w:rPr>
              <w:t/>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false"/>
                <w:iCs w:val="false"/>
                <w:color w:val="000000"/>
                <w:sz w:val="18"/>
                <w:szCs w:val="18"/>
                <w:highlight w:val="none"/>
                <w:u w:val="none"/>
              </w:rPr>
            </w:pPr>
            <w:r>
              <w:rPr>
                <w:rFonts w:hint="default" w:ascii="Times New Roman" w:hAnsi="Times New Roman" w:eastAsia="方正仿宋_GB2312" w:cs="Times New Roman"/>
                <w:i w:val="false"/>
                <w:iCs w:val="false"/>
                <w:color w:val="000000"/>
                <w:sz w:val="18"/>
                <w:szCs w:val="18"/>
                <w:highlight w:val="none"/>
                <w:u w:val="none"/>
              </w:rPr>
              <w:t/>
              <w:t/>
            </w: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false"/>
              <w:keepLines w:val="false"/>
              <w:widowControl/>
              <w:suppressLineNumbers w:val="false"/>
              <w:jc w:val="left"/>
              <w:textAlignment w:val="center"/>
              <w:rPr>
                <w:rFonts w:hint="eastAsia" w:ascii="宋体" w:hAnsi="宋体" w:eastAsia="宋体" w:cs="宋体"/>
                <w:i w:val="false"/>
                <w:iCs w:val="false"/>
                <w:color w:val="000000"/>
                <w:sz w:val="18"/>
                <w:szCs w:val="18"/>
                <w:highlight w:val="none"/>
                <w:u w:val="none"/>
              </w:rPr>
            </w:pPr>
            <w:r>
              <w:rPr>
                <w:rFonts w:hint="eastAsia" w:ascii="方正仿宋_GB2312" w:hAnsi="方正仿宋_GB2312" w:eastAsia="方正仿宋_GB2312" w:cs="方正仿宋_GB2312"/>
                <w:i w:val="false"/>
                <w:iCs w:val="false"/>
                <w:color w:val="000000"/>
                <w:kern w:val="0"/>
                <w:sz w:val="18"/>
                <w:szCs w:val="18"/>
                <w:highlight w:val="none"/>
                <w:u w:val="none"/>
                <w:lang w:val="en-US" w:eastAsia="zh-CN" w:bidi="ar"/>
              </w:rPr>
              <w:t/>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false"/>
                <w:iCs w:val="false"/>
                <w:color w:val="000000"/>
                <w:kern w:val="0"/>
                <w:sz w:val="20"/>
                <w:szCs w:val="20"/>
                <w:highlight w:val="none"/>
                <w:u w:val="none"/>
                <w:lang w:val="en-US" w:eastAsia="zh-CN" w:bidi="ar"/>
              </w:rPr>
              <w:t/>
              <w:t>（如无相关数据，则需注明空表列示）</w:t>
            </w:r>
          </w:p>
        </w:tc>
      </w:tr>
    </w:tbl>
    <w:p w14:paraId="4895B326">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false"/>
        <w:keepLines w:val="false"/>
        <w:pageBreakBefore w:val="false"/>
        <w:widowControl w:val="false"/>
        <w:kinsoku/>
        <w:wordWrap/>
        <w:overflowPunct/>
        <w:topLinePunct w:val="false"/>
        <w:autoSpaceDE/>
        <w:autoSpaceDN/>
        <w:bidi w:val="false"/>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w:type="default" r:id="rId8"/>
          <w:footerReference w:type="default" r:id="rId21"/>
          <w:pgSz w:w="11906" w:h="16838"/>
          <w:pgMar w:top="1531" w:right="1984" w:bottom="1531" w:left="2098" w:header="851" w:footer="992" w:gutter="0"/>
          <w:pgBorders>
            <w:top w:val="none" w:sz="0" w:space="0"/>
            <w:left w:val="none" w:sz="0" w:space="0"/>
            <w:bottom w:val="none" w:sz="0" w:space="0"/>
            <w:right w:val="none" w:sz="0" w:space="0"/>
          </w:pgBorders>
          <w:pgNumType/>
          <w:cols w:space="720" w:num="1"/>
          <w:docGrid w:type="lines" w:linePitch="312" w:charSpace="0"/>
        </w:sectPr>
      </w:pP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第三部分 </w:t>
      </w:r>
      <w:r>
        <w:rPr>
          <w:rFonts w:ascii="Times New Roman" w:eastAsia="仿宋_GB2312"/>
          <w:b w:val="false"/>
          <w:sz w:val="44"/>
          <w:szCs w:val="44"/>
        </w:rPr>
        <w:t>2024</w:t>
      </w:r>
      <w:r>
        <w:rPr>
          <w:rFonts w:ascii="Times New Roman" w:eastAsia="黑体"/>
          <w:b w:val="false"/>
          <w:sz w:val="44"/>
          <w:szCs w:val="44"/>
        </w:rPr>
        <w:t>年度部门决算情况说明</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一、收入支出决算总体情况说明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w:t>
      </w:r>
      <w:r>
        <w:rPr>
          <w:rFonts w:ascii="Times New Roman" w:eastAsia="仿宋_GB2312"/>
          <w:b w:val="false"/>
          <w:sz w:val="32"/>
          <w:szCs w:val="32"/>
        </w:rPr>
        <w:t>年度收、支总计（含结转和结余）均为</w:t>
      </w:r>
      <w:r>
        <w:rPr>
          <w:rFonts w:ascii="Times New Roman" w:eastAsia="仿宋_GB2312"/>
          <w:b w:val="false"/>
          <w:sz w:val="32"/>
          <w:szCs w:val="32"/>
        </w:rPr>
        <w:t>0.00</w:t>
      </w:r>
      <w:r>
        <w:rPr>
          <w:rFonts w:ascii="Times New Roman" w:eastAsia="仿宋_GB2312"/>
          <w:b w:val="false"/>
          <w:sz w:val="32"/>
          <w:szCs w:val="32"/>
        </w:rPr>
        <w:t>万元。与</w:t>
      </w:r>
      <w:r>
        <w:rPr>
          <w:rFonts w:ascii="Times New Roman" w:eastAsia="仿宋_GB2312"/>
          <w:b w:val="false"/>
          <w:sz w:val="32"/>
          <w:szCs w:val="32"/>
        </w:rPr>
        <w:t>2023</w:t>
      </w:r>
      <w:r>
        <w:rPr>
          <w:rFonts w:ascii="Times New Roman" w:eastAsia="仿宋_GB2312"/>
          <w:b w:val="false"/>
          <w:sz w:val="32"/>
          <w:szCs w:val="32"/>
        </w:rPr>
        <w:t>年度决算相比，收支各</w:t>
      </w:r>
      <w:r>
        <w:rPr>
          <w:rFonts w:ascii="Times New Roman" w:eastAsia="仿宋_GB2312"/>
          <w:b w:val="false"/>
          <w:sz w:val="32"/>
          <w:szCs w:val="32"/>
        </w:rPr>
        <w:t>减少</w:t>
      </w:r>
      <w:r>
        <w:rPr>
          <w:rFonts w:ascii="Times New Roman" w:eastAsia="仿宋_GB2312"/>
          <w:b w:val="false"/>
          <w:sz w:val="32"/>
          <w:szCs w:val="32"/>
        </w:rPr>
        <w:t>2,435.81</w:t>
      </w:r>
      <w:r>
        <w:rPr>
          <w:rFonts w:ascii="Times New Roman" w:eastAsia="仿宋_GB2312"/>
          <w:b w:val="false"/>
          <w:sz w:val="32"/>
          <w:szCs w:val="32"/>
        </w:rPr>
        <w:t>万元，</w:t>
      </w:r>
      <w:r>
        <w:rPr>
          <w:rFonts w:ascii="Times New Roman" w:eastAsia="仿宋_GB2312"/>
          <w:b w:val="false"/>
          <w:sz w:val="32"/>
          <w:szCs w:val="32"/>
        </w:rPr>
        <w:t>下降</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14:paraId="55CC107B">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a:graphicData uri="http://schemas.openxmlformats.org/drawingml/2006/chart">
                <c:chart r:id="rId11"/>
              </a:graphicData>
            </a:graphic>
          </wp:inline>
        </w:drawing>
      </w:r>
      <w:r>
        <w:rPr>
          <w:rFonts w:hint="default" w:ascii="Times New Roman" w:hAnsi="Times New Roman" w:eastAsia="Arial" w:cs="Times New Roman"/>
          <w:i w:val="false"/>
          <w:iCs w:val="false"/>
          <w:caps w:val="false"/>
          <w:color w:val="000000"/>
          <w:spacing w:val="0"/>
          <w:sz w:val="18"/>
          <w:szCs w:val="18"/>
          <w:highlight w:val="none"/>
          <w:shd w:val="clear" w:fill="FFFFFF"/>
        </w:rPr>
        <w:t/>
        <w:t> </w:t>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二、收入决算情况说明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w:t>
      </w:r>
      <w:r>
        <w:rPr>
          <w:rFonts w:ascii="Times New Roman" w:eastAsia="仿宋_GB2312"/>
          <w:b w:val="false"/>
          <w:sz w:val="32"/>
          <w:szCs w:val="32"/>
        </w:rPr>
        <w:t>年度本年收入合计</w:t>
      </w:r>
      <w:r>
        <w:rPr>
          <w:rFonts w:ascii="Times New Roman" w:eastAsia="仿宋_GB2312"/>
          <w:b w:val="false"/>
          <w:sz w:val="32"/>
          <w:szCs w:val="32"/>
        </w:rPr>
        <w:t>0.00</w:t>
      </w:r>
      <w:r>
        <w:rPr>
          <w:rFonts w:ascii="Times New Roman" w:eastAsia="仿宋_GB2312"/>
          <w:b w:val="false"/>
          <w:sz w:val="32"/>
          <w:szCs w:val="32"/>
        </w:rPr>
        <w:t>万元，其中：财政拨款收入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%；上级补助收入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%；事业收入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%；附属单位上缴收入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%；其他收入</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3EDA1CE7">
      <w:pPr>
        <w:adjustRightInd w:val="false"/>
        <w:snapToGrid w:val="false"/>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false" relativeHeight="251661312" behindDoc="false" locked="false" layoutInCell="true" allowOverlap="true">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a:graphicData uri="http://schemas.openxmlformats.org/drawingml/2006/chart">
                <c:chart r:id="rId12"/>
              </a:graphicData>
            </a:graphic>
          </wp:anchor>
        </w:drawing>
      </w:r>
    </w:p>
    <w:p>
      <w:pPr>
        <w:widowControl w:val="true"/>
        <w:spacing w:before="0" w:beforeLines="0" w:beforeAutospacing="false" w:after="0" w:afterLines="0" w:afterAutospacing="false" w:line="360" w:lineRule="auto"/>
        <w:ind/>
        <w:jc w:val="left"/>
        <w:outlineLvl w:val="1"/>
        <w:rPr>
          <w:rFonts w:ascii="Times New Roman" w:eastAsia="黑体"/>
          <w:sz w:val="32"/>
          <w:szCs w:val="32"/>
        </w:rPr>
      </w:pPr>
      <w:r>
        <w:rPr>
          <w:rFonts w:ascii="Times New Roman" w:eastAsia="黑体"/>
          <w:b w:val="false"/>
          <w:sz w:val="32"/>
          <w:szCs w:val="32"/>
        </w:rPr>
        <w:t>三、支出决算情况说明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2024年度本年支出合计</w:t>
      </w:r>
      <w:r>
        <w:rPr>
          <w:rFonts w:ascii="Times New Roman" w:eastAsia="仿宋_GB2312"/>
          <w:b w:val="false"/>
          <w:sz w:val="32"/>
          <w:szCs w:val="32"/>
        </w:rPr>
        <w:t>0.00</w:t>
      </w:r>
      <w:r>
        <w:rPr>
          <w:rFonts w:ascii="Times New Roman" w:eastAsia="仿宋_GB2312"/>
          <w:b w:val="false"/>
          <w:sz w:val="32"/>
          <w:szCs w:val="32"/>
        </w:rPr>
        <w:t>万元，其中：基本支出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%；项目支出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%；上缴上级支出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%；经营支出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%；对附属单位补助支出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w:t>
      </w:r>
    </w:p>
    <w:p w14:paraId="1EDB8620">
      <w:pPr>
        <w:autoSpaceDE w:val="false"/>
        <w:autoSpaceDN w:val="false"/>
        <w:adjustRightInd w:val="false"/>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a:graphicData uri="http://schemas.openxmlformats.org/drawingml/2006/chart">
                <c:chart r:id="rId13"/>
              </a:graphicData>
            </a:graphic>
          </wp:inline>
        </w:drawing>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四、财政拨款收入支出决算总体情况说明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（一）财政拨款收支与</w:t>
      </w:r>
      <w:r>
        <w:rPr>
          <w:rFonts w:ascii="Times New Roman" w:eastAsia="仿宋_GB2312"/>
          <w:b w:val="true"/>
          <w:sz w:val="32"/>
          <w:szCs w:val="32"/>
        </w:rPr>
        <w:t>2023</w:t>
      </w:r>
      <w:r>
        <w:rPr>
          <w:rFonts w:ascii="Times New Roman" w:eastAsia="楷体_GB2312"/>
          <w:b w:val="true"/>
          <w:sz w:val="32"/>
          <w:szCs w:val="32"/>
        </w:rPr>
        <w:t>年度决算对比情况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2024年度财政拨款收、支总计（含结转和结余）均为</w:t>
      </w:r>
      <w:r>
        <w:rPr>
          <w:rFonts w:ascii="Times New Roman" w:eastAsia="仿宋_GB2312"/>
          <w:b w:val="false"/>
          <w:sz w:val="32"/>
          <w:szCs w:val="32"/>
        </w:rPr>
        <w:t>0.00</w:t>
      </w:r>
      <w:r>
        <w:rPr>
          <w:rFonts w:ascii="Times New Roman" w:eastAsia="仿宋_GB2312"/>
          <w:b w:val="false"/>
          <w:sz w:val="32"/>
          <w:szCs w:val="32"/>
        </w:rPr>
        <w:t>万元。与2023年度相比，财政拨款收支各</w:t>
      </w:r>
      <w:r>
        <w:rPr>
          <w:rFonts w:ascii="Times New Roman" w:eastAsia="仿宋_GB2312"/>
          <w:b w:val="false"/>
          <w:sz w:val="32"/>
          <w:szCs w:val="32"/>
        </w:rPr>
        <w:t>减少</w:t>
      </w:r>
      <w:r>
        <w:rPr>
          <w:rFonts w:ascii="Times New Roman" w:eastAsia="仿宋_GB2312"/>
          <w:b w:val="false"/>
          <w:sz w:val="32"/>
          <w:szCs w:val="32"/>
        </w:rPr>
        <w:t>2,435.81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2,435.81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 </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2,435.81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outlineLvl w:val="1"/>
        <w:rPr>
          <w:rFonts w:ascii="Times New Roman" w:eastAsia="仿宋_GB2312"/>
          <w:sz w:val="32"/>
          <w:szCs w:val="32"/>
        </w:rPr>
      </w:pPr>
      <w:r>
        <w:rPr>
          <w:rFonts w:ascii="Times New Roman" w:eastAsia="仿宋_GB2312"/>
          <w:b w:val="false"/>
          <w:sz w:val="32"/>
          <w:szCs w:val="32"/>
        </w:rPr>
        <w:t>1. 一般公共预算财政拨款本年收入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1,173.31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 万元，比上年</w:t>
      </w:r>
      <w:r>
        <w:rPr>
          <w:rFonts w:ascii="Times New Roman" w:eastAsia="仿宋_GB2312"/>
          <w:b w:val="false"/>
          <w:sz w:val="32"/>
          <w:szCs w:val="32"/>
        </w:rPr>
        <w:t>减少</w:t>
      </w:r>
      <w:r>
        <w:rPr>
          <w:rFonts w:ascii="Times New Roman" w:eastAsia="仿宋_GB2312"/>
          <w:b w:val="false"/>
          <w:sz w:val="32"/>
          <w:szCs w:val="32"/>
        </w:rPr>
        <w:t>1,173.31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1,262.51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减少</w:t>
      </w:r>
      <w:r>
        <w:rPr>
          <w:rFonts w:ascii="Times New Roman" w:eastAsia="仿宋_GB2312"/>
          <w:b w:val="false"/>
          <w:sz w:val="32"/>
          <w:szCs w:val="32"/>
        </w:rPr>
        <w:t>1,262.51</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0.00</w:t>
      </w:r>
      <w:r>
        <w:rPr>
          <w:rFonts w:ascii="Times New Roman" w:eastAsia="仿宋_GB2312"/>
          <w:b w:val="false"/>
          <w:sz w:val="32"/>
          <w:szCs w:val="32"/>
        </w:rPr>
        <w:t>万元，比上年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14:paraId="57375238">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a:graphicData uri="http://schemas.openxmlformats.org/drawingml/2006/chart">
                <c:chart r:id="rId14"/>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（二）财政拨款收支与年初预算数对比情况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2024年度财政拨款本年收入</w:t>
      </w:r>
      <w:r>
        <w:rPr>
          <w:rFonts w:ascii="Times New Roman" w:eastAsia="仿宋_GB2312"/>
          <w:b w:val="false"/>
          <w:sz w:val="32"/>
          <w:szCs w:val="32"/>
        </w:rPr>
        <w:t>1,000.07</w:t>
      </w:r>
      <w:r>
        <w:rPr>
          <w:rFonts w:ascii="Times New Roman" w:eastAsia="仿宋_GB2312"/>
          <w:b w:val="false"/>
          <w:sz w:val="32"/>
          <w:szCs w:val="32"/>
        </w:rPr>
        <w:t>万元，完成年初预算的</w:t>
      </w:r>
      <w:r>
        <w:rPr>
          <w:rFonts w:ascii="Times New Roman" w:eastAsia="仿宋_GB2312"/>
          <w:b w:val="false"/>
          <w:sz w:val="32"/>
          <w:szCs w:val="32"/>
        </w:rPr>
        <w:t>97.8</w:t>
      </w:r>
      <w:r>
        <w:rPr>
          <w:rFonts w:ascii="Times New Roman" w:eastAsia="仿宋_GB2312"/>
          <w:b w:val="false"/>
          <w:sz w:val="32"/>
          <w:szCs w:val="32"/>
        </w:rPr>
        <w:t>%，比年初预算</w:t>
      </w:r>
      <w:r>
        <w:rPr>
          <w:rFonts w:ascii="Times New Roman" w:eastAsia="仿宋_GB2312"/>
          <w:b w:val="false"/>
          <w:sz w:val="32"/>
          <w:szCs w:val="32"/>
        </w:rPr>
        <w:t>减少</w:t>
      </w:r>
      <w:r>
        <w:rPr>
          <w:rFonts w:ascii="Times New Roman" w:eastAsia="仿宋_GB2312"/>
          <w:b w:val="false"/>
          <w:sz w:val="32"/>
          <w:szCs w:val="32"/>
        </w:rPr>
        <w:t>22.40</w:t>
      </w:r>
      <w:r>
        <w:rPr>
          <w:rFonts w:ascii="Times New Roman" w:eastAsia="仿宋_GB2312"/>
          <w:b w:val="false"/>
          <w:sz w:val="32"/>
          <w:szCs w:val="32"/>
        </w:rPr>
        <w:t>万元，决算数</w:t>
      </w:r>
      <w:r>
        <w:rPr>
          <w:rFonts w:ascii="Times New Roman" w:eastAsia="仿宋_GB2312"/>
          <w:b w:val="false"/>
          <w:sz w:val="32"/>
          <w:szCs w:val="32"/>
        </w:rPr>
        <w:t>小于</w:t>
      </w:r>
      <w:r>
        <w:rPr>
          <w:rFonts w:ascii="Times New Roman" w:eastAsia="仿宋_GB2312"/>
          <w:b w:val="false"/>
          <w:sz w:val="32"/>
          <w:szCs w:val="32"/>
        </w:rPr>
        <w:t>预算数主要原因是</w:t>
      </w:r>
      <w:r>
        <w:rPr>
          <w:rFonts w:ascii="Times New Roman" w:eastAsia="仿宋_GB2312"/>
          <w:b w:val="false"/>
          <w:sz w:val="32"/>
          <w:szCs w:val="32"/>
        </w:rPr>
        <w:t/>
      </w:r>
      <w:r>
        <w:rPr>
          <w:rFonts w:ascii="Times New Roman" w:eastAsia="仿宋_GB2312"/>
          <w:b w:val="false"/>
          <w:sz w:val="32"/>
          <w:szCs w:val="32"/>
        </w:rPr>
        <w:t>；本年支出</w:t>
      </w:r>
      <w:r>
        <w:rPr>
          <w:rFonts w:ascii="Times New Roman" w:eastAsia="仿宋_GB2312"/>
          <w:b w:val="false"/>
          <w:sz w:val="32"/>
          <w:szCs w:val="32"/>
        </w:rPr>
        <w:t>1,000.07</w:t>
      </w:r>
      <w:r>
        <w:rPr>
          <w:rFonts w:ascii="Times New Roman" w:eastAsia="仿宋_GB2312"/>
          <w:b w:val="false"/>
          <w:sz w:val="32"/>
          <w:szCs w:val="32"/>
        </w:rPr>
        <w:t>万元，完成年初预算的</w:t>
      </w:r>
      <w:r>
        <w:rPr>
          <w:rFonts w:ascii="Times New Roman" w:eastAsia="仿宋_GB2312"/>
          <w:b w:val="false"/>
          <w:sz w:val="32"/>
          <w:szCs w:val="32"/>
        </w:rPr>
        <w:t>97.8</w:t>
      </w:r>
      <w:r>
        <w:rPr>
          <w:rFonts w:ascii="Times New Roman" w:eastAsia="仿宋_GB2312"/>
          <w:b w:val="false"/>
          <w:sz w:val="32"/>
          <w:szCs w:val="32"/>
        </w:rPr>
        <w:t>%，比年初预算</w:t>
      </w:r>
      <w:r>
        <w:rPr>
          <w:rFonts w:ascii="Times New Roman" w:eastAsia="仿宋_GB2312"/>
          <w:b w:val="false"/>
          <w:sz w:val="32"/>
          <w:szCs w:val="32"/>
        </w:rPr>
        <w:t>减少</w:t>
      </w:r>
      <w:r>
        <w:rPr>
          <w:rFonts w:ascii="Times New Roman" w:eastAsia="仿宋_GB2312"/>
          <w:b w:val="false"/>
          <w:sz w:val="32"/>
          <w:szCs w:val="32"/>
        </w:rPr>
        <w:t>22.40</w:t>
      </w:r>
      <w:r>
        <w:rPr>
          <w:rFonts w:ascii="Times New Roman" w:eastAsia="仿宋_GB2312"/>
          <w:b w:val="false"/>
          <w:sz w:val="32"/>
          <w:szCs w:val="32"/>
        </w:rPr>
        <w:t>万元，决算数</w:t>
      </w:r>
      <w:r>
        <w:rPr>
          <w:rFonts w:ascii="Times New Roman" w:eastAsia="仿宋_GB2312"/>
          <w:b w:val="false"/>
          <w:sz w:val="32"/>
          <w:szCs w:val="32"/>
        </w:rPr>
        <w:t>小于</w:t>
      </w:r>
      <w:r>
        <w:rPr>
          <w:rFonts w:ascii="Times New Roman" w:eastAsia="仿宋_GB2312"/>
          <w:b w:val="false"/>
          <w:sz w:val="32"/>
          <w:szCs w:val="32"/>
        </w:rPr>
        <w:t>预算数主要原因是</w:t>
      </w:r>
      <w:r>
        <w:rPr>
          <w:rFonts w:ascii="Times New Roman" w:eastAsia="仿宋_GB2312"/>
          <w:b w:val="false"/>
          <w:sz w:val="32"/>
          <w:szCs w:val="32"/>
        </w:rPr>
        <w:t/>
      </w:r>
      <w:r>
        <w:rPr>
          <w:rFonts w:ascii="Times New Roman" w:eastAsia="仿宋_GB2312"/>
          <w:b w:val="false"/>
          <w:sz w:val="32"/>
          <w:szCs w:val="32"/>
        </w:rPr>
        <w:t>。具体情况如下：</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1. 一般公共预算财政拨款本年收入完成年初预算的</w:t>
      </w:r>
      <w:r>
        <w:rPr>
          <w:rFonts w:ascii="Times New Roman" w:eastAsia="仿宋_GB2312"/>
          <w:b w:val="false"/>
          <w:sz w:val="32"/>
          <w:szCs w:val="32"/>
        </w:rPr>
        <w:t>118.4</w:t>
      </w:r>
      <w:r>
        <w:rPr>
          <w:rFonts w:ascii="Times New Roman" w:eastAsia="仿宋_GB2312"/>
          <w:b w:val="false"/>
          <w:sz w:val="32"/>
          <w:szCs w:val="32"/>
        </w:rPr>
        <w:t> %，比年初预算</w:t>
      </w:r>
      <w:r>
        <w:rPr>
          <w:rFonts w:ascii="Times New Roman" w:eastAsia="仿宋_GB2312"/>
          <w:b w:val="false"/>
          <w:sz w:val="32"/>
          <w:szCs w:val="32"/>
        </w:rPr>
        <w:t>增加</w:t>
      </w:r>
      <w:r>
        <w:rPr>
          <w:rFonts w:ascii="Times New Roman" w:eastAsia="仿宋_GB2312"/>
          <w:b w:val="false"/>
          <w:sz w:val="32"/>
          <w:szCs w:val="32"/>
        </w:rPr>
        <w:t>155.08</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118.4</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155.08</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政府性基金预算财政拨款本年收入完成年初预算的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减少</w:t>
      </w:r>
      <w:r>
        <w:rPr>
          <w:rFonts w:ascii="Times New Roman" w:eastAsia="仿宋_GB2312"/>
          <w:b w:val="false"/>
          <w:sz w:val="32"/>
          <w:szCs w:val="32"/>
        </w:rPr>
        <w:t>177.48</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减少</w:t>
      </w:r>
      <w:r>
        <w:rPr>
          <w:rFonts w:ascii="Times New Roman" w:eastAsia="仿宋_GB2312"/>
          <w:b w:val="false"/>
          <w:sz w:val="32"/>
          <w:szCs w:val="32"/>
        </w:rPr>
        <w:t>177.48</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3. 国有资本经营预算财政拨款本年收入完成年初预算的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；支出完成年初预算的</w:t>
      </w:r>
      <w:r>
        <w:rPr>
          <w:rFonts w:ascii="Times New Roman" w:eastAsia="仿宋_GB2312"/>
          <w:b w:val="false"/>
          <w:sz w:val="32"/>
          <w:szCs w:val="32"/>
        </w:rPr>
        <w:t>0.0</w:t>
      </w:r>
      <w:r>
        <w:rPr>
          <w:rFonts w:ascii="Times New Roman" w:eastAsia="仿宋_GB2312"/>
          <w:b w:val="false"/>
          <w:sz w:val="32"/>
          <w:szCs w:val="32"/>
        </w:rPr>
        <w:t>%，比年初预算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万元，主要原因是</w:t>
      </w:r>
      <w:r>
        <w:rPr>
          <w:rFonts w:ascii="Times New Roman" w:eastAsia="仿宋_GB2312"/>
          <w:b w:val="false"/>
          <w:sz w:val="32"/>
          <w:szCs w:val="32"/>
        </w:rPr>
        <w:t/>
      </w:r>
      <w:r>
        <w:rPr>
          <w:rFonts w:ascii="Times New Roman" w:eastAsia="仿宋_GB2312"/>
          <w:b w:val="false"/>
          <w:sz w:val="32"/>
          <w:szCs w:val="32"/>
        </w:rPr>
        <w:t>。</w:t>
      </w:r>
    </w:p>
    <w:p w14:paraId="39F845FE">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left"/>
        <w:rPr>
          <w:rFonts w:hint="default" w:ascii="Times New Roman" w:hAnsi="Times New Roman" w:eastAsia="Arial" w:cs="Times New Roman"/>
          <w:highlight w:val="none"/>
        </w:rPr>
      </w:pPr>
    </w:p>
    <w:p w14:paraId="5BE36D14">
      <w:pPr>
        <w:pStyle w:val="10"/>
        <w:keepNext w:val="false"/>
        <w:keepLines w:val="false"/>
        <w:widowControl/>
        <w:suppressLineNumbers w:val="false"/>
        <w:pBdr>
          <w:top w:val="none" w:color="auto" w:sz="0" w:space="0"/>
          <w:left w:val="none" w:color="auto" w:sz="0" w:space="0"/>
          <w:bottom w:val="none" w:color="auto" w:sz="0" w:space="0"/>
          <w:right w:val="none" w:color="auto" w:sz="0" w:space="0"/>
        </w:pBdr>
        <w:spacing w:before="0" w:beforeAutospacing="false" w:after="0" w:afterAutospacing="false"/>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a:graphicData uri="http://schemas.openxmlformats.org/drawingml/2006/chart">
                <c:chart r:id="rId15"/>
              </a:graphicData>
            </a:graphic>
          </wp:inline>
        </w:drawing>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（三）财政拨款支出决算结构情况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2024年度财政拨款支出</w:t>
      </w:r>
      <w:r>
        <w:rPr>
          <w:rFonts w:ascii="Times New Roman" w:eastAsia="仿宋_GB2312"/>
          <w:b w:val="false"/>
          <w:sz w:val="32"/>
          <w:szCs w:val="32"/>
        </w:rPr>
        <w:t>1,000.07</w:t>
      </w:r>
      <w:r>
        <w:rPr>
          <w:rFonts w:ascii="Times New Roman" w:eastAsia="仿宋_GB2312"/>
          <w:b w:val="false"/>
          <w:sz w:val="32"/>
          <w:szCs w:val="32"/>
        </w:rPr>
        <w:t>万元，主要用于以下方面：</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一般公共预算财政拨款支出：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600.77</w:t>
      </w:r>
      <w:r>
        <w:rPr>
          <w:rFonts w:ascii="Times New Roman" w:eastAsia="仿宋_GB2312"/>
          <w:b w:val="false"/>
          <w:sz w:val="32"/>
          <w:szCs w:val="32"/>
        </w:rPr>
        <w:t>万元，占</w:t>
      </w:r>
      <w:r>
        <w:rPr>
          <w:rFonts w:ascii="Times New Roman" w:eastAsia="仿宋_GB2312"/>
          <w:b w:val="false"/>
          <w:sz w:val="32"/>
          <w:szCs w:val="32"/>
        </w:rPr>
        <w:t>60.1</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36.30</w:t>
      </w:r>
      <w:r>
        <w:rPr>
          <w:rFonts w:ascii="Times New Roman" w:eastAsia="仿宋_GB2312"/>
          <w:b w:val="false"/>
          <w:sz w:val="32"/>
          <w:szCs w:val="32"/>
        </w:rPr>
        <w:t>万元，占</w:t>
      </w:r>
      <w:r>
        <w:rPr>
          <w:rFonts w:ascii="Times New Roman" w:eastAsia="仿宋_GB2312"/>
          <w:b w:val="false"/>
          <w:sz w:val="32"/>
          <w:szCs w:val="32"/>
        </w:rPr>
        <w:t>3.6</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31.36</w:t>
      </w:r>
      <w:r>
        <w:rPr>
          <w:rFonts w:ascii="Times New Roman" w:eastAsia="仿宋_GB2312"/>
          <w:b w:val="false"/>
          <w:sz w:val="32"/>
          <w:szCs w:val="32"/>
        </w:rPr>
        <w:t>万元，占</w:t>
      </w:r>
      <w:r>
        <w:rPr>
          <w:rFonts w:ascii="Times New Roman" w:eastAsia="仿宋_GB2312"/>
          <w:b w:val="false"/>
          <w:sz w:val="32"/>
          <w:szCs w:val="32"/>
        </w:rPr>
        <w:t>3.1</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5.00</w:t>
      </w:r>
      <w:r>
        <w:rPr>
          <w:rFonts w:ascii="Times New Roman" w:eastAsia="仿宋_GB2312"/>
          <w:b w:val="false"/>
          <w:sz w:val="32"/>
          <w:szCs w:val="32"/>
        </w:rPr>
        <w:t>万元，占</w:t>
      </w:r>
      <w:r>
        <w:rPr>
          <w:rFonts w:ascii="Times New Roman" w:eastAsia="仿宋_GB2312"/>
          <w:b w:val="false"/>
          <w:sz w:val="32"/>
          <w:szCs w:val="32"/>
        </w:rPr>
        <w:t>0.5</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291.08</w:t>
      </w:r>
      <w:r>
        <w:rPr>
          <w:rFonts w:ascii="Times New Roman" w:eastAsia="仿宋_GB2312"/>
          <w:b w:val="false"/>
          <w:sz w:val="32"/>
          <w:szCs w:val="32"/>
        </w:rPr>
        <w:t>万元，占</w:t>
      </w:r>
      <w:r>
        <w:rPr>
          <w:rFonts w:ascii="Times New Roman" w:eastAsia="仿宋_GB2312"/>
          <w:b w:val="false"/>
          <w:sz w:val="32"/>
          <w:szCs w:val="32"/>
        </w:rPr>
        <w:t>29.1</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35.56</w:t>
      </w:r>
      <w:r>
        <w:rPr>
          <w:rFonts w:ascii="Times New Roman" w:eastAsia="仿宋_GB2312"/>
          <w:b w:val="false"/>
          <w:sz w:val="32"/>
          <w:szCs w:val="32"/>
        </w:rPr>
        <w:t>万元，占</w:t>
      </w:r>
      <w:r>
        <w:rPr>
          <w:rFonts w:ascii="Times New Roman" w:eastAsia="仿宋_GB2312"/>
          <w:b w:val="false"/>
          <w:sz w:val="32"/>
          <w:szCs w:val="32"/>
        </w:rPr>
        <w:t>3.6</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政府性基金预算财政拨款支出：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国有资本经营预算财政拨款支出：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一般公共服务（类）支出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等支出；外交（类）支出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等支出；公共安全（类）支出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等支出；教育（类）支出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等支出；科学技术（类）支出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等支出；文化旅游体育与传媒（类）支出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等支出；社会保障和就业 （类）支出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等支出；卫生健康（类）支出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等支出；节能环保（类）支出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等支出；城乡社区（类）支出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等支出；农林水（类）支出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等支出；交通运输（类）支出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等支出；资源勘探信息等（类）支出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等支出；商业服务业等（类）支出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等支出；金融（类）支出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等支出；援助其他地区（类）支出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等支出；自然资源海洋气象等（类）支出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等支出；住房保障（类）支出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等支出；粮油物资储备（类）支出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等支出；国有资本经营预算支出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等支出；害防治及应急管理（类）支出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等支出；其他（类）支出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等支出；债务还本（类）支出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等支出；债务付息（类）支出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等支出；抗疫特别国债安排的支出</w:t>
      </w:r>
      <w:r>
        <w:rPr>
          <w:rFonts w:ascii="Times New Roman" w:eastAsia="仿宋_GB2312"/>
          <w:b w:val="false"/>
          <w:sz w:val="32"/>
          <w:szCs w:val="32"/>
        </w:rPr>
        <w:t>0.00</w:t>
      </w:r>
      <w:r>
        <w:rPr>
          <w:rFonts w:ascii="Times New Roman" w:eastAsia="仿宋_GB2312"/>
          <w:b w:val="false"/>
          <w:sz w:val="32"/>
          <w:szCs w:val="32"/>
        </w:rPr>
        <w:t>万元，占</w:t>
      </w:r>
      <w:r>
        <w:rPr>
          <w:rFonts w:ascii="Times New Roman" w:eastAsia="仿宋_GB2312"/>
          <w:b w:val="false"/>
          <w:sz w:val="32"/>
          <w:szCs w:val="32"/>
        </w:rPr>
        <w:t>0.0</w:t>
      </w:r>
      <w:r>
        <w:rPr>
          <w:rFonts w:ascii="Times New Roman" w:eastAsia="仿宋_GB2312"/>
          <w:b w:val="false"/>
          <w:sz w:val="32"/>
          <w:szCs w:val="32"/>
        </w:rPr>
        <w:t>%，主要用于</w:t>
      </w:r>
      <w:r>
        <w:rPr>
          <w:rFonts w:ascii="Times New Roman" w:eastAsia="仿宋_GB2312"/>
          <w:b w:val="false"/>
          <w:sz w:val="32"/>
          <w:szCs w:val="32"/>
        </w:rPr>
        <w:t/>
      </w:r>
      <w:r>
        <w:rPr>
          <w:rFonts w:ascii="Times New Roman" w:eastAsia="仿宋_GB2312"/>
          <w:b w:val="false"/>
          <w:sz w:val="32"/>
          <w:szCs w:val="32"/>
        </w:rPr>
        <w:t>等支出。</w:t>
      </w:r>
    </w:p>
    <w:p w14:paraId="36ED2E86">
      <w:pPr>
        <w:pStyle w:val="10"/>
        <w:keepNext w:val="false"/>
        <w:keepLines w:val="false"/>
        <w:pageBreakBefore w:val="false"/>
        <w:widowControl/>
        <w:suppressLineNumbers w:val="false"/>
        <w:pBdr>
          <w:top w:val="none" w:color="auto" w:sz="0" w:space="0"/>
          <w:left w:val="none" w:color="auto" w:sz="0" w:space="0"/>
          <w:bottom w:val="none" w:color="auto" w:sz="0" w:space="0"/>
          <w:right w:val="none" w:color="auto" w:sz="0" w:space="0"/>
        </w:pBdr>
        <w:kinsoku/>
        <w:wordWrap/>
        <w:overflowPunct/>
        <w:topLinePunct w:val="false"/>
        <w:autoSpaceDE/>
        <w:autoSpaceDN/>
        <w:bidi w:val="false"/>
        <w:spacing w:before="0" w:beforeAutospacing="false" w:after="0" w:afterAutospacing="false"/>
        <w:ind w:left="0" w:right="0"/>
        <w:jc w:val="left"/>
        <w:textAlignment w:val="auto"/>
        <w:rPr>
          <w:rFonts w:hint="default" w:ascii="Times New Roman" w:hAnsi="Times New Roman" w:eastAsia="仿宋_GB2312" w:cs="Times New Roman"/>
          <w:color w:val="auto"/>
          <w:kern w:val="2"/>
          <w:sz w:val="32"/>
          <w:szCs w:val="32"/>
          <w:lang w:val="zh-CN" w:eastAsia="zh-CN" w:bidi="ar-SA"/>
        </w:rPr>
      </w:pPr>
      <w:bookmarkStart w:name="_GoBack" w:id="0"/>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a:graphicData uri="http://schemas.openxmlformats.org/drawingml/2006/chart">
                <c:chart r:id="rId16"/>
              </a:graphicData>
            </a:graphic>
          </wp:inline>
        </w:drawing>
      </w:r>
      <w:bookmarkEnd w:id="0"/>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（四）一般公共预算基本支出决算情况说明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2024年度财政拨款基本支出</w:t>
      </w:r>
      <w:r>
        <w:rPr>
          <w:rFonts w:ascii="Times New Roman" w:eastAsia="仿宋_GB2312"/>
          <w:b w:val="false"/>
          <w:sz w:val="32"/>
          <w:szCs w:val="32"/>
        </w:rPr>
        <w:t>493.34</w:t>
      </w:r>
      <w:r>
        <w:rPr>
          <w:rFonts w:ascii="Times New Roman" w:eastAsia="仿宋_GB2312"/>
          <w:b w:val="false"/>
          <w:sz w:val="32"/>
          <w:szCs w:val="32"/>
        </w:rPr>
        <w:t>万元，其中：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人员经费</w:t>
      </w:r>
      <w:r>
        <w:rPr>
          <w:rFonts w:ascii="Times New Roman" w:eastAsia="仿宋_GB2312"/>
          <w:b w:val="false"/>
          <w:sz w:val="32"/>
          <w:szCs w:val="32"/>
        </w:rPr>
        <w:t>439.69</w:t>
      </w:r>
      <w:r>
        <w:rPr>
          <w:rFonts w:ascii="Times New Roman" w:eastAsia="仿宋_GB2312"/>
          <w:b w:val="false"/>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公用经费</w:t>
      </w:r>
      <w:r>
        <w:rPr>
          <w:rFonts w:ascii="Times New Roman" w:eastAsia="仿宋_GB2312"/>
          <w:b w:val="false"/>
          <w:sz w:val="32"/>
          <w:szCs w:val="32"/>
        </w:rPr>
        <w:t>53.65</w:t>
      </w:r>
      <w:r>
        <w:rPr>
          <w:rFonts w:ascii="Times New Roman" w:eastAsia="仿宋_GB2312"/>
          <w:b w:val="false"/>
          <w:sz w:val="32"/>
          <w:szCs w:val="32"/>
        </w:rPr>
        <w:t>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五、财政拨款“三公” 经费支出决算情况说明</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（一）“三公”经费财政拨款支出决算总体情况说明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2024年度“三公”经费财政拨款支出预算为</w:t>
      </w:r>
      <w:r>
        <w:rPr>
          <w:rFonts w:ascii="Times New Roman" w:eastAsia="仿宋_GB2312"/>
          <w:b w:val="false"/>
          <w:sz w:val="32"/>
          <w:szCs w:val="32"/>
        </w:rPr>
        <w:t>5.20</w:t>
      </w:r>
      <w:r>
        <w:rPr>
          <w:rFonts w:ascii="Times New Roman" w:eastAsia="仿宋_GB2312"/>
          <w:b w:val="false"/>
          <w:sz w:val="32"/>
          <w:szCs w:val="32"/>
        </w:rPr>
        <w:t>万元，支出决算为 </w:t>
      </w:r>
      <w:r>
        <w:rPr>
          <w:rFonts w:ascii="Times New Roman" w:eastAsia="仿宋_GB2312"/>
          <w:b w:val="false"/>
          <w:sz w:val="32"/>
          <w:szCs w:val="32"/>
        </w:rPr>
        <w:t>0.00</w:t>
      </w:r>
      <w:r>
        <w:rPr>
          <w:rFonts w:ascii="Times New Roman" w:eastAsia="仿宋_GB2312"/>
          <w:b w:val="false"/>
          <w:sz w:val="32"/>
          <w:szCs w:val="32"/>
        </w:rPr>
        <w:t>万元，完成预算的 </w:t>
      </w:r>
      <w:r>
        <w:rPr>
          <w:rFonts w:ascii="Times New Roman" w:eastAsia="仿宋_GB2312"/>
          <w:b w:val="false"/>
          <w:sz w:val="32"/>
          <w:szCs w:val="32"/>
        </w:rPr>
        <w:t>0.0</w:t>
      </w:r>
      <w:r>
        <w:rPr>
          <w:rFonts w:ascii="Times New Roman" w:eastAsia="仿宋_GB2312"/>
          <w:b w:val="false"/>
          <w:sz w:val="32"/>
          <w:szCs w:val="32"/>
        </w:rPr>
        <w:t>%，较预算</w:t>
      </w:r>
      <w:r>
        <w:rPr>
          <w:rFonts w:ascii="Times New Roman" w:eastAsia="仿宋_GB2312"/>
          <w:b w:val="false"/>
          <w:sz w:val="32"/>
          <w:szCs w:val="32"/>
        </w:rPr>
        <w:t>减少</w:t>
      </w:r>
      <w:r>
        <w:rPr>
          <w:rFonts w:ascii="Times New Roman" w:eastAsia="仿宋_GB2312"/>
          <w:b w:val="false"/>
          <w:sz w:val="32"/>
          <w:szCs w:val="32"/>
        </w:rPr>
        <w:t>5.20</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；较2023年度决算</w:t>
      </w:r>
      <w:r>
        <w:rPr>
          <w:rFonts w:ascii="Times New Roman" w:eastAsia="仿宋_GB2312"/>
          <w:b w:val="false"/>
          <w:sz w:val="32"/>
          <w:szCs w:val="32"/>
        </w:rPr>
        <w:t>减少</w:t>
      </w:r>
      <w:r>
        <w:rPr>
          <w:rFonts w:ascii="Times New Roman" w:eastAsia="仿宋_GB2312"/>
          <w:b w:val="false"/>
          <w:sz w:val="32"/>
          <w:szCs w:val="32"/>
        </w:rPr>
        <w:t>12.26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楷体_GB2312"/>
          <w:sz w:val="32"/>
          <w:szCs w:val="32"/>
        </w:rPr>
      </w:pPr>
      <w:r>
        <w:rPr>
          <w:rFonts w:ascii="Times New Roman" w:eastAsia="楷体_GB2312"/>
          <w:b w:val="true"/>
          <w:sz w:val="32"/>
          <w:szCs w:val="32"/>
        </w:rPr>
        <w:t>（二）“三公”经费财政拨款支出决算具体情况说明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1.因公出国（境）费支出情况。</w:t>
      </w:r>
      <w:r>
        <w:rPr>
          <w:rFonts w:ascii="Times New Roman" w:eastAsia="仿宋_GB2312"/>
          <w:b w:val="false"/>
          <w:sz w:val="32"/>
          <w:szCs w:val="32"/>
        </w:rPr>
        <w:t>本部门</w:t>
      </w:r>
      <w:r>
        <w:rPr>
          <w:rFonts w:ascii="Times New Roman" w:eastAsia="仿宋_GB2312"/>
          <w:b w:val="false"/>
          <w:sz w:val="32"/>
          <w:szCs w:val="32"/>
        </w:rPr>
        <w:t>2024年度因公出国（境）费支出预算为</w:t>
      </w:r>
      <w:r>
        <w:rPr>
          <w:rFonts w:ascii="Times New Roman" w:eastAsia="仿宋_GB2312"/>
          <w:b w:val="false"/>
          <w:sz w:val="32"/>
          <w:szCs w:val="32"/>
        </w:rPr>
        <w:t>0.00</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%。因公出国（境）费支出较预算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。因公出国（境）团组</w:t>
      </w:r>
      <w:r>
        <w:rPr>
          <w:rFonts w:ascii="Times New Roman" w:eastAsia="仿宋_GB2312"/>
          <w:b w:val="false"/>
          <w:sz w:val="32"/>
          <w:szCs w:val="32"/>
        </w:rPr>
        <w:t>0</w:t>
      </w:r>
      <w:r>
        <w:rPr>
          <w:rFonts w:ascii="Times New Roman" w:eastAsia="仿宋_GB2312"/>
          <w:b w:val="false"/>
          <w:sz w:val="32"/>
          <w:szCs w:val="32"/>
        </w:rPr>
        <w:t>个、共</w:t>
      </w:r>
      <w:r>
        <w:rPr>
          <w:rFonts w:ascii="Times New Roman" w:eastAsia="仿宋_GB2312"/>
          <w:b w:val="false"/>
          <w:sz w:val="32"/>
          <w:szCs w:val="32"/>
        </w:rPr>
        <w:t>0</w:t>
      </w:r>
      <w:r>
        <w:rPr>
          <w:rFonts w:ascii="Times New Roman" w:eastAsia="仿宋_GB2312"/>
          <w:b w:val="false"/>
          <w:sz w:val="32"/>
          <w:szCs w:val="32"/>
        </w:rPr>
        <w:t>人、参加其他单位组织的因公出国（境）团组</w:t>
      </w:r>
      <w:r>
        <w:rPr>
          <w:rFonts w:ascii="Times New Roman" w:eastAsia="仿宋_GB2312"/>
          <w:b w:val="false"/>
          <w:sz w:val="32"/>
          <w:szCs w:val="32"/>
        </w:rPr>
        <w:t/>
      </w:r>
      <w:r>
        <w:rPr>
          <w:rFonts w:ascii="Times New Roman" w:eastAsia="仿宋_GB2312"/>
          <w:b w:val="false"/>
          <w:sz w:val="32"/>
          <w:szCs w:val="32"/>
        </w:rPr>
        <w:t>个、共</w:t>
      </w:r>
      <w:r>
        <w:rPr>
          <w:rFonts w:ascii="Times New Roman" w:eastAsia="仿宋_GB2312"/>
          <w:b w:val="false"/>
          <w:sz w:val="32"/>
          <w:szCs w:val="32"/>
        </w:rPr>
        <w:t/>
      </w:r>
      <w:r>
        <w:rPr>
          <w:rFonts w:ascii="Times New Roman" w:eastAsia="仿宋_GB2312"/>
          <w:b w:val="false"/>
          <w:sz w:val="32"/>
          <w:szCs w:val="32"/>
        </w:rPr>
        <w:t>人/无本部门组织的出国（境）团组。</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2.公务用车购置及运行维护费支出情况。</w:t>
      </w:r>
      <w:r>
        <w:rPr>
          <w:rFonts w:ascii="Times New Roman" w:eastAsia="仿宋_GB2312"/>
          <w:b w:val="false"/>
          <w:sz w:val="32"/>
          <w:szCs w:val="32"/>
        </w:rPr>
        <w:t>本部门</w:t>
      </w:r>
      <w:r>
        <w:rPr>
          <w:rFonts w:ascii="Times New Roman" w:eastAsia="仿宋_GB2312"/>
          <w:b w:val="false"/>
          <w:sz w:val="32"/>
          <w:szCs w:val="32"/>
        </w:rPr>
        <w:t>2024年度公务用车购置及运行维护费预算为</w:t>
      </w:r>
      <w:r>
        <w:rPr>
          <w:rFonts w:ascii="Times New Roman" w:eastAsia="仿宋_GB2312"/>
          <w:b w:val="false"/>
          <w:sz w:val="32"/>
          <w:szCs w:val="32"/>
        </w:rPr>
        <w:t>5.20</w:t>
      </w:r>
      <w:r>
        <w:rPr>
          <w:rFonts w:ascii="Times New Roman" w:eastAsia="仿宋_GB2312"/>
          <w:b w:val="false"/>
          <w:sz w:val="32"/>
          <w:szCs w:val="32"/>
        </w:rPr>
        <w:t>万元，支出决算 </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%,较预算</w:t>
      </w:r>
      <w:r>
        <w:rPr>
          <w:rFonts w:ascii="Times New Roman" w:eastAsia="仿宋_GB2312"/>
          <w:b w:val="false"/>
          <w:sz w:val="32"/>
          <w:szCs w:val="32"/>
        </w:rPr>
        <w:t>减少</w:t>
      </w:r>
      <w:r>
        <w:rPr>
          <w:rFonts w:ascii="Times New Roman" w:eastAsia="仿宋_GB2312"/>
          <w:b w:val="false"/>
          <w:sz w:val="32"/>
          <w:szCs w:val="32"/>
        </w:rPr>
        <w:t>5.20</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12.26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。其中：</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公务用车购置费支出</w:t>
      </w:r>
      <w:r>
        <w:rPr>
          <w:rFonts w:ascii="Times New Roman" w:eastAsia="仿宋_GB2312"/>
          <w:b w:val="true"/>
          <w:sz w:val="32"/>
          <w:szCs w:val="32"/>
        </w:rPr>
        <w:t>0.00</w:t>
      </w:r>
      <w:r>
        <w:rPr>
          <w:rFonts w:ascii="Times New Roman" w:eastAsia="仿宋_GB2312"/>
          <w:b w:val="true"/>
          <w:sz w:val="32"/>
          <w:szCs w:val="32"/>
        </w:rPr>
        <w:t>万元：</w:t>
      </w:r>
      <w:r>
        <w:rPr>
          <w:rFonts w:ascii="Times New Roman" w:eastAsia="仿宋_GB2312"/>
          <w:b w:val="false"/>
          <w:sz w:val="32"/>
          <w:szCs w:val="32"/>
        </w:rPr>
        <w:t>本部门</w:t>
      </w:r>
      <w:r>
        <w:rPr>
          <w:rFonts w:ascii="Times New Roman" w:eastAsia="仿宋_GB2312"/>
          <w:b w:val="false"/>
          <w:sz w:val="32"/>
          <w:szCs w:val="32"/>
        </w:rPr>
        <w:t>2024年度公务用车购置量</w:t>
      </w:r>
      <w:r>
        <w:rPr>
          <w:rFonts w:ascii="Times New Roman" w:eastAsia="仿宋_GB2312"/>
          <w:b w:val="false"/>
          <w:sz w:val="32"/>
          <w:szCs w:val="32"/>
        </w:rPr>
        <w:t>0</w:t>
      </w:r>
      <w:r>
        <w:rPr>
          <w:rFonts w:ascii="Times New Roman" w:eastAsia="仿宋_GB2312"/>
          <w:b w:val="false"/>
          <w:sz w:val="32"/>
          <w:szCs w:val="32"/>
        </w:rPr>
        <w:t>辆，发生“公务用车购置”经费支出</w:t>
      </w:r>
      <w:r>
        <w:rPr>
          <w:rFonts w:ascii="Times New Roman" w:eastAsia="仿宋_GB2312"/>
          <w:b w:val="false"/>
          <w:sz w:val="32"/>
          <w:szCs w:val="32"/>
        </w:rPr>
        <w:t>0.00</w:t>
      </w:r>
      <w:r>
        <w:rPr>
          <w:rFonts w:ascii="Times New Roman" w:eastAsia="仿宋_GB2312"/>
          <w:b w:val="false"/>
          <w:sz w:val="32"/>
          <w:szCs w:val="32"/>
        </w:rPr>
        <w:t>万元。公务用车购置费支出较预算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7.06</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公务用车运行维护费支出</w:t>
      </w:r>
      <w:r>
        <w:rPr>
          <w:rFonts w:ascii="Times New Roman" w:eastAsia="仿宋_GB2312"/>
          <w:b w:val="true"/>
          <w:sz w:val="32"/>
          <w:szCs w:val="32"/>
        </w:rPr>
        <w:t>0.00</w:t>
      </w:r>
      <w:r>
        <w:rPr>
          <w:rFonts w:ascii="Times New Roman" w:eastAsia="仿宋_GB2312"/>
          <w:b w:val="true"/>
          <w:sz w:val="32"/>
          <w:szCs w:val="32"/>
        </w:rPr>
        <w:t>万元：</w:t>
      </w:r>
      <w:r>
        <w:rPr>
          <w:rFonts w:ascii="Times New Roman" w:eastAsia="仿宋_GB2312"/>
          <w:b w:val="false"/>
          <w:sz w:val="32"/>
          <w:szCs w:val="32"/>
        </w:rPr>
        <w:t>本部门</w:t>
      </w:r>
      <w:r>
        <w:rPr>
          <w:rFonts w:ascii="Times New Roman" w:eastAsia="仿宋_GB2312"/>
          <w:b w:val="false"/>
          <w:sz w:val="32"/>
          <w:szCs w:val="32"/>
        </w:rPr>
        <w:t>2024年度单位公务用车保有量</w:t>
      </w:r>
      <w:r>
        <w:rPr>
          <w:rFonts w:ascii="Times New Roman" w:eastAsia="仿宋_GB2312"/>
          <w:b w:val="false"/>
          <w:sz w:val="32"/>
          <w:szCs w:val="32"/>
        </w:rPr>
        <w:t>2</w:t>
      </w:r>
      <w:r>
        <w:rPr>
          <w:rFonts w:ascii="Times New Roman" w:eastAsia="仿宋_GB2312"/>
          <w:b w:val="false"/>
          <w:sz w:val="32"/>
          <w:szCs w:val="32"/>
        </w:rPr>
        <w:t>辆，发生运行维护费支出</w:t>
      </w:r>
      <w:r>
        <w:rPr>
          <w:rFonts w:ascii="Times New Roman" w:eastAsia="仿宋_GB2312"/>
          <w:b w:val="false"/>
          <w:sz w:val="32"/>
          <w:szCs w:val="32"/>
        </w:rPr>
        <w:t>0.00</w:t>
      </w:r>
      <w:r>
        <w:rPr>
          <w:rFonts w:ascii="Times New Roman" w:eastAsia="仿宋_GB2312"/>
          <w:b w:val="false"/>
          <w:sz w:val="32"/>
          <w:szCs w:val="32"/>
        </w:rPr>
        <w:t>万元。公车运行维护费支出较预算</w:t>
      </w:r>
      <w:r>
        <w:rPr>
          <w:rFonts w:ascii="Times New Roman" w:eastAsia="仿宋_GB2312"/>
          <w:b w:val="false"/>
          <w:sz w:val="32"/>
          <w:szCs w:val="32"/>
        </w:rPr>
        <w:t>减少</w:t>
      </w:r>
      <w:r>
        <w:rPr>
          <w:rFonts w:ascii="Times New Roman" w:eastAsia="仿宋_GB2312"/>
          <w:b w:val="false"/>
          <w:sz w:val="32"/>
          <w:szCs w:val="32"/>
        </w:rPr>
        <w:t>5.20</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w:t>
      </w:r>
      <w:r>
        <w:rPr>
          <w:rFonts w:ascii="Times New Roman" w:eastAsia="仿宋_GB2312"/>
          <w:b w:val="false"/>
          <w:sz w:val="32"/>
          <w:szCs w:val="32"/>
        </w:rPr>
        <w:t>减少</w:t>
      </w:r>
      <w:r>
        <w:rPr>
          <w:rFonts w:ascii="Times New Roman" w:eastAsia="仿宋_GB2312"/>
          <w:b w:val="false"/>
          <w:sz w:val="32"/>
          <w:szCs w:val="32"/>
        </w:rPr>
        <w:t>5.20</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100.0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楷体_GB2312"/>
          <w:b w:val="true"/>
          <w:sz w:val="32"/>
          <w:szCs w:val="32"/>
        </w:rPr>
        <w:t>3.公务接待费支出情况。</w:t>
      </w:r>
      <w:r>
        <w:rPr>
          <w:rFonts w:ascii="Times New Roman" w:eastAsia="仿宋_GB2312"/>
          <w:b w:val="false"/>
          <w:sz w:val="32"/>
          <w:szCs w:val="32"/>
        </w:rPr>
        <w:t>本部门</w:t>
      </w:r>
      <w:r>
        <w:rPr>
          <w:rFonts w:ascii="Times New Roman" w:eastAsia="仿宋_GB2312"/>
          <w:b w:val="false"/>
          <w:sz w:val="32"/>
          <w:szCs w:val="32"/>
        </w:rPr>
        <w:t>2024年度公务接待费支出预算为</w:t>
      </w:r>
      <w:r>
        <w:rPr>
          <w:rFonts w:ascii="Times New Roman" w:eastAsia="仿宋_GB2312"/>
          <w:b w:val="false"/>
          <w:sz w:val="32"/>
          <w:szCs w:val="32"/>
        </w:rPr>
        <w:t>0.00</w:t>
      </w:r>
      <w:r>
        <w:rPr>
          <w:rFonts w:ascii="Times New Roman" w:eastAsia="仿宋_GB2312"/>
          <w:b w:val="false"/>
          <w:sz w:val="32"/>
          <w:szCs w:val="32"/>
        </w:rPr>
        <w:t>万元，支出决算</w:t>
      </w:r>
      <w:r>
        <w:rPr>
          <w:rFonts w:ascii="Times New Roman" w:eastAsia="仿宋_GB2312"/>
          <w:b w:val="false"/>
          <w:sz w:val="32"/>
          <w:szCs w:val="32"/>
        </w:rPr>
        <w:t>0.00</w:t>
      </w:r>
      <w:r>
        <w:rPr>
          <w:rFonts w:ascii="Times New Roman" w:eastAsia="仿宋_GB2312"/>
          <w:b w:val="false"/>
          <w:sz w:val="32"/>
          <w:szCs w:val="32"/>
        </w:rPr>
        <w:t>万元，完成预算的</w:t>
      </w:r>
      <w:r>
        <w:rPr>
          <w:rFonts w:ascii="Times New Roman" w:eastAsia="仿宋_GB2312"/>
          <w:b w:val="false"/>
          <w:sz w:val="32"/>
          <w:szCs w:val="32"/>
        </w:rPr>
        <w:t>0.0</w:t>
      </w:r>
      <w:r>
        <w:rPr>
          <w:rFonts w:ascii="Times New Roman" w:eastAsia="仿宋_GB2312"/>
          <w:b w:val="false"/>
          <w:sz w:val="32"/>
          <w:szCs w:val="32"/>
        </w:rPr>
        <w:t>%。公务接待费支出较预算</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；较上年度</w:t>
      </w:r>
      <w:r>
        <w:rPr>
          <w:rFonts w:ascii="Times New Roman" w:eastAsia="仿宋_GB2312"/>
          <w:b w:val="false"/>
          <w:sz w:val="32"/>
          <w:szCs w:val="32"/>
        </w:rPr>
        <w:t>增加</w:t>
      </w:r>
      <w:r>
        <w:rPr>
          <w:rFonts w:ascii="Times New Roman" w:eastAsia="仿宋_GB2312"/>
          <w:b w:val="false"/>
          <w:sz w:val="32"/>
          <w:szCs w:val="32"/>
        </w:rPr>
        <w:t>0.00</w:t>
      </w:r>
      <w:r>
        <w:rPr>
          <w:rFonts w:ascii="Times New Roman" w:eastAsia="仿宋_GB2312"/>
          <w:b w:val="false"/>
          <w:sz w:val="32"/>
          <w:szCs w:val="32"/>
        </w:rPr>
        <w:t>万元，</w:t>
      </w:r>
      <w:r>
        <w:rPr>
          <w:rFonts w:ascii="Times New Roman" w:eastAsia="仿宋_GB2312"/>
          <w:b w:val="false"/>
          <w:sz w:val="32"/>
          <w:szCs w:val="32"/>
        </w:rPr>
        <w:t>增长</w:t>
      </w:r>
      <w:r>
        <w:rPr>
          <w:rFonts w:ascii="Times New Roman" w:eastAsia="仿宋_GB2312"/>
          <w:b w:val="false"/>
          <w:sz w:val="32"/>
          <w:szCs w:val="32"/>
        </w:rPr>
        <w:t>0.00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。本年度共发生公务接待</w:t>
      </w:r>
      <w:r>
        <w:rPr>
          <w:rFonts w:ascii="Times New Roman" w:eastAsia="仿宋_GB2312"/>
          <w:b w:val="false"/>
          <w:sz w:val="32"/>
          <w:szCs w:val="32"/>
        </w:rPr>
        <w:t>0</w:t>
      </w:r>
      <w:r>
        <w:rPr>
          <w:rFonts w:ascii="Times New Roman" w:eastAsia="仿宋_GB2312"/>
          <w:b w:val="false"/>
          <w:sz w:val="32"/>
          <w:szCs w:val="32"/>
        </w:rPr>
        <w:t>批次、</w:t>
      </w:r>
      <w:r>
        <w:rPr>
          <w:rFonts w:ascii="Times New Roman" w:eastAsia="仿宋_GB2312"/>
          <w:b w:val="false"/>
          <w:sz w:val="32"/>
          <w:szCs w:val="32"/>
        </w:rPr>
        <w:t>0</w:t>
      </w:r>
      <w:r>
        <w:rPr>
          <w:rFonts w:ascii="Times New Roman" w:eastAsia="仿宋_GB2312"/>
          <w:b w:val="false"/>
          <w:sz w:val="32"/>
          <w:szCs w:val="32"/>
        </w:rPr>
        <w:t>人次。</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六、机关运行经费支出说明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2024年度机关运行经费支出</w:t>
      </w:r>
      <w:r>
        <w:rPr>
          <w:rFonts w:ascii="Times New Roman" w:eastAsia="仿宋_GB2312"/>
          <w:b w:val="false"/>
          <w:sz w:val="32"/>
          <w:szCs w:val="32"/>
        </w:rPr>
        <w:t>53.65</w:t>
      </w:r>
      <w:r>
        <w:rPr>
          <w:rFonts w:ascii="Times New Roman" w:eastAsia="仿宋_GB2312"/>
          <w:b w:val="false"/>
          <w:sz w:val="32"/>
          <w:szCs w:val="32"/>
        </w:rPr>
        <w:t>万元，较2023年度</w:t>
      </w:r>
      <w:r>
        <w:rPr>
          <w:rFonts w:ascii="Times New Roman" w:eastAsia="仿宋_GB2312"/>
          <w:b w:val="false"/>
          <w:sz w:val="32"/>
          <w:szCs w:val="32"/>
        </w:rPr>
        <w:t>减少</w:t>
      </w:r>
      <w:r>
        <w:rPr>
          <w:rFonts w:ascii="Times New Roman" w:eastAsia="仿宋_GB2312"/>
          <w:b w:val="false"/>
          <w:sz w:val="32"/>
          <w:szCs w:val="32"/>
        </w:rPr>
        <w:t>2.83</w:t>
      </w:r>
      <w:r>
        <w:rPr>
          <w:rFonts w:ascii="Times New Roman" w:eastAsia="仿宋_GB2312"/>
          <w:b w:val="false"/>
          <w:sz w:val="32"/>
          <w:szCs w:val="32"/>
        </w:rPr>
        <w:t>万元，</w:t>
      </w:r>
      <w:r>
        <w:rPr>
          <w:rFonts w:ascii="Times New Roman" w:eastAsia="仿宋_GB2312"/>
          <w:b w:val="false"/>
          <w:sz w:val="32"/>
          <w:szCs w:val="32"/>
        </w:rPr>
        <w:t>降低</w:t>
      </w:r>
      <w:r>
        <w:rPr>
          <w:rFonts w:ascii="Times New Roman" w:eastAsia="仿宋_GB2312"/>
          <w:b w:val="false"/>
          <w:sz w:val="32"/>
          <w:szCs w:val="32"/>
        </w:rPr>
        <w:t>5.0</w:t>
      </w:r>
      <w:r>
        <w:rPr>
          <w:rFonts w:ascii="Times New Roman" w:eastAsia="仿宋_GB2312"/>
          <w:b w:val="false"/>
          <w:sz w:val="32"/>
          <w:szCs w:val="32"/>
        </w:rPr>
        <w:t>%。主要原因是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七、政府采购支出说明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2024年度政府采购支出总额</w:t>
      </w:r>
      <w:r>
        <w:rPr>
          <w:rFonts w:ascii="Times New Roman" w:eastAsia="仿宋_GB2312"/>
          <w:b w:val="false"/>
          <w:sz w:val="32"/>
          <w:szCs w:val="32"/>
        </w:rPr>
        <w:t>0.00</w:t>
      </w:r>
      <w:r>
        <w:rPr>
          <w:rFonts w:ascii="Times New Roman" w:eastAsia="仿宋_GB2312"/>
          <w:b w:val="false"/>
          <w:sz w:val="32"/>
          <w:szCs w:val="32"/>
        </w:rPr>
        <w:t>万元，从采购类型来看，政府采购货物支出</w:t>
      </w:r>
      <w:r>
        <w:rPr>
          <w:rFonts w:ascii="Times New Roman" w:eastAsia="仿宋_GB2312"/>
          <w:b w:val="false"/>
          <w:sz w:val="32"/>
          <w:szCs w:val="32"/>
        </w:rPr>
        <w:t>0.00</w:t>
      </w:r>
      <w:r>
        <w:rPr>
          <w:rFonts w:ascii="Times New Roman" w:eastAsia="仿宋_GB2312"/>
          <w:b w:val="false"/>
          <w:sz w:val="32"/>
          <w:szCs w:val="32"/>
        </w:rPr>
        <w:t>万元、政府采购工程支出</w:t>
      </w:r>
      <w:r>
        <w:rPr>
          <w:rFonts w:ascii="Times New Roman" w:eastAsia="仿宋_GB2312"/>
          <w:b w:val="false"/>
          <w:sz w:val="32"/>
          <w:szCs w:val="32"/>
        </w:rPr>
        <w:t>0.00</w:t>
      </w:r>
      <w:r>
        <w:rPr>
          <w:rFonts w:ascii="Times New Roman" w:eastAsia="仿宋_GB2312"/>
          <w:b w:val="false"/>
          <w:sz w:val="32"/>
          <w:szCs w:val="32"/>
        </w:rPr>
        <w:t>万元、政府采购服务支出</w:t>
      </w:r>
      <w:r>
        <w:rPr>
          <w:rFonts w:ascii="Times New Roman" w:eastAsia="仿宋_GB2312"/>
          <w:b w:val="false"/>
          <w:sz w:val="32"/>
          <w:szCs w:val="32"/>
        </w:rPr>
        <w:t>0.00</w:t>
      </w:r>
      <w:r>
        <w:rPr>
          <w:rFonts w:ascii="Times New Roman" w:eastAsia="仿宋_GB2312"/>
          <w:b w:val="false"/>
          <w:sz w:val="32"/>
          <w:szCs w:val="32"/>
        </w:rPr>
        <w:t>万元。授予中小企业合同金额</w:t>
      </w:r>
      <w:r>
        <w:rPr>
          <w:rFonts w:ascii="Times New Roman" w:eastAsia="仿宋_GB2312"/>
          <w:b w:val="false"/>
          <w:sz w:val="32"/>
          <w:szCs w:val="32"/>
        </w:rPr>
        <w:t>0.00</w:t>
      </w:r>
      <w:r>
        <w:rPr>
          <w:rFonts w:ascii="Times New Roman" w:eastAsia="仿宋_GB2312"/>
          <w:b w:val="false"/>
          <w:sz w:val="32"/>
          <w:szCs w:val="32"/>
        </w:rPr>
        <w:t>万元，占政府采购支出总额的</w:t>
      </w:r>
      <w:r>
        <w:rPr>
          <w:rFonts w:ascii="Times New Roman" w:eastAsia="仿宋_GB2312"/>
          <w:b w:val="false"/>
          <w:sz w:val="32"/>
          <w:szCs w:val="32"/>
        </w:rPr>
        <w:t>0.0</w:t>
      </w:r>
      <w:r>
        <w:rPr>
          <w:rFonts w:ascii="Times New Roman" w:eastAsia="仿宋_GB2312"/>
          <w:b w:val="false"/>
          <w:sz w:val="32"/>
          <w:szCs w:val="32"/>
        </w:rPr>
        <w:t>%，其中授予小微企业合同金额</w:t>
      </w:r>
      <w:r>
        <w:rPr>
          <w:rFonts w:ascii="Times New Roman" w:eastAsia="仿宋_GB2312"/>
          <w:b w:val="false"/>
          <w:sz w:val="32"/>
          <w:szCs w:val="32"/>
        </w:rPr>
        <w:t>0.00</w:t>
      </w:r>
      <w:r>
        <w:rPr>
          <w:rFonts w:ascii="Times New Roman" w:eastAsia="仿宋_GB2312"/>
          <w:b w:val="false"/>
          <w:sz w:val="32"/>
          <w:szCs w:val="32"/>
        </w:rPr>
        <w:t>万元，占政府采购支出总额的</w:t>
      </w:r>
      <w:r>
        <w:rPr>
          <w:rFonts w:ascii="Times New Roman" w:eastAsia="仿宋_GB2312"/>
          <w:b w:val="false"/>
          <w:sz w:val="32"/>
          <w:szCs w:val="32"/>
        </w:rPr>
        <w:t>0.0</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八、国有资产占用情况说明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截至2024年12月31日，</w:t>
      </w:r>
      <w:r>
        <w:rPr>
          <w:rFonts w:ascii="Times New Roman" w:eastAsia="仿宋_GB2312"/>
          <w:b w:val="false"/>
          <w:sz w:val="32"/>
          <w:szCs w:val="32"/>
        </w:rPr>
        <w:t>本部门共有车辆</w:t>
      </w:r>
      <w:r>
        <w:rPr>
          <w:rFonts w:ascii="Times New Roman" w:eastAsia="仿宋_GB2312"/>
          <w:b w:val="false"/>
          <w:sz w:val="32"/>
          <w:szCs w:val="32"/>
        </w:rPr>
        <w:t>2</w:t>
      </w:r>
      <w:r>
        <w:rPr>
          <w:rFonts w:ascii="Times New Roman" w:eastAsia="仿宋_GB2312"/>
          <w:b w:val="false"/>
          <w:sz w:val="32"/>
          <w:szCs w:val="32"/>
        </w:rPr>
        <w:t>辆，比上年</w:t>
      </w:r>
      <w:r>
        <w:rPr>
          <w:rFonts w:ascii="Times New Roman" w:eastAsia="仿宋_GB2312"/>
          <w:b w:val="false"/>
          <w:sz w:val="32"/>
          <w:szCs w:val="32"/>
        </w:rPr>
        <w:t>减少</w:t>
      </w:r>
      <w:r>
        <w:rPr>
          <w:rFonts w:ascii="Times New Roman" w:eastAsia="仿宋_GB2312"/>
          <w:b w:val="false"/>
          <w:sz w:val="32"/>
          <w:szCs w:val="32"/>
        </w:rPr>
        <w:t>1</w:t>
      </w:r>
      <w:r>
        <w:rPr>
          <w:rFonts w:ascii="Times New Roman" w:eastAsia="仿宋_GB2312"/>
          <w:b w:val="false"/>
          <w:sz w:val="32"/>
          <w:szCs w:val="32"/>
        </w:rPr>
        <w:t>辆，主要是</w:t>
      </w:r>
      <w:r>
        <w:rPr>
          <w:rFonts w:ascii="Times New Roman" w:eastAsia="仿宋_GB2312"/>
          <w:b w:val="false"/>
          <w:sz w:val="32"/>
          <w:szCs w:val="32"/>
        </w:rPr>
        <w:t/>
      </w:r>
      <w:r>
        <w:rPr>
          <w:rFonts w:ascii="Times New Roman" w:eastAsia="仿宋_GB2312"/>
          <w:b w:val="false"/>
          <w:sz w:val="32"/>
          <w:szCs w:val="32"/>
        </w:rPr>
        <w:t>。其中，副部（省）级及以上领导用车</w:t>
      </w:r>
      <w:r>
        <w:rPr>
          <w:rFonts w:ascii="Times New Roman" w:eastAsia="仿宋_GB2312"/>
          <w:b w:val="false"/>
          <w:sz w:val="32"/>
          <w:szCs w:val="32"/>
        </w:rPr>
        <w:t>0</w:t>
      </w:r>
      <w:r>
        <w:rPr>
          <w:rFonts w:ascii="Times New Roman" w:eastAsia="仿宋_GB2312"/>
          <w:b w:val="false"/>
          <w:sz w:val="32"/>
          <w:szCs w:val="32"/>
        </w:rPr>
        <w:t>辆，主要负责人用车</w:t>
      </w:r>
      <w:r>
        <w:rPr>
          <w:rFonts w:ascii="Times New Roman" w:eastAsia="仿宋_GB2312"/>
          <w:b w:val="false"/>
          <w:sz w:val="32"/>
          <w:szCs w:val="32"/>
        </w:rPr>
        <w:t>0</w:t>
      </w:r>
      <w:r>
        <w:rPr>
          <w:rFonts w:ascii="Times New Roman" w:eastAsia="仿宋_GB2312"/>
          <w:b w:val="false"/>
          <w:sz w:val="32"/>
          <w:szCs w:val="32"/>
        </w:rPr>
        <w:t>辆，机要通信用车</w:t>
      </w:r>
      <w:r>
        <w:rPr>
          <w:rFonts w:ascii="Times New Roman" w:eastAsia="仿宋_GB2312"/>
          <w:b w:val="false"/>
          <w:sz w:val="32"/>
          <w:szCs w:val="32"/>
        </w:rPr>
        <w:t>0</w:t>
      </w:r>
      <w:r>
        <w:rPr>
          <w:rFonts w:ascii="Times New Roman" w:eastAsia="仿宋_GB2312"/>
          <w:b w:val="false"/>
          <w:sz w:val="32"/>
          <w:szCs w:val="32"/>
        </w:rPr>
        <w:t>辆，应急保障用车</w:t>
      </w:r>
      <w:r>
        <w:rPr>
          <w:rFonts w:ascii="Times New Roman" w:eastAsia="仿宋_GB2312"/>
          <w:b w:val="false"/>
          <w:sz w:val="32"/>
          <w:szCs w:val="32"/>
        </w:rPr>
        <w:t>2</w:t>
      </w:r>
      <w:r>
        <w:rPr>
          <w:rFonts w:ascii="Times New Roman" w:eastAsia="仿宋_GB2312"/>
          <w:b w:val="false"/>
          <w:sz w:val="32"/>
          <w:szCs w:val="32"/>
        </w:rPr>
        <w:t>辆，执法执勤用车</w:t>
      </w:r>
      <w:r>
        <w:rPr>
          <w:rFonts w:ascii="Times New Roman" w:eastAsia="仿宋_GB2312"/>
          <w:b w:val="false"/>
          <w:sz w:val="32"/>
          <w:szCs w:val="32"/>
        </w:rPr>
        <w:t>0</w:t>
      </w:r>
      <w:r>
        <w:rPr>
          <w:rFonts w:ascii="Times New Roman" w:eastAsia="仿宋_GB2312"/>
          <w:b w:val="false"/>
          <w:sz w:val="32"/>
          <w:szCs w:val="32"/>
        </w:rPr>
        <w:t>辆，特种专业技术用车</w:t>
      </w:r>
      <w:r>
        <w:rPr>
          <w:rFonts w:ascii="Times New Roman" w:eastAsia="仿宋_GB2312"/>
          <w:b w:val="false"/>
          <w:sz w:val="32"/>
          <w:szCs w:val="32"/>
        </w:rPr>
        <w:t>0</w:t>
      </w:r>
      <w:r>
        <w:rPr>
          <w:rFonts w:ascii="Times New Roman" w:eastAsia="仿宋_GB2312"/>
          <w:b w:val="false"/>
          <w:sz w:val="32"/>
          <w:szCs w:val="32"/>
        </w:rPr>
        <w:t>辆，离退休干部用车</w:t>
      </w:r>
      <w:r>
        <w:rPr>
          <w:rFonts w:ascii="Times New Roman" w:eastAsia="仿宋_GB2312"/>
          <w:b w:val="false"/>
          <w:sz w:val="32"/>
          <w:szCs w:val="32"/>
        </w:rPr>
        <w:t>0</w:t>
      </w:r>
      <w:r>
        <w:rPr>
          <w:rFonts w:ascii="Times New Roman" w:eastAsia="仿宋_GB2312"/>
          <w:b w:val="false"/>
          <w:sz w:val="32"/>
          <w:szCs w:val="32"/>
        </w:rPr>
        <w:t>辆，其他用车</w:t>
      </w:r>
      <w:r>
        <w:rPr>
          <w:rFonts w:ascii="Times New Roman" w:eastAsia="仿宋_GB2312"/>
          <w:b w:val="false"/>
          <w:sz w:val="32"/>
          <w:szCs w:val="32"/>
        </w:rPr>
        <w:t>0</w:t>
      </w:r>
      <w:r>
        <w:rPr>
          <w:rFonts w:ascii="Times New Roman" w:eastAsia="仿宋_GB2312"/>
          <w:b w:val="false"/>
          <w:sz w:val="32"/>
          <w:szCs w:val="32"/>
        </w:rPr>
        <w:t>辆，其他用车主要是</w:t>
      </w:r>
      <w:r>
        <w:rPr>
          <w:rFonts w:ascii="Times New Roman" w:eastAsia="仿宋_GB2312"/>
          <w:b w:val="false"/>
          <w:sz w:val="32"/>
          <w:szCs w:val="32"/>
        </w:rPr>
        <w:t/>
      </w:r>
      <w:r>
        <w:rPr>
          <w:rFonts w:ascii="Times New Roman" w:eastAsia="仿宋_GB2312"/>
          <w:b w:val="false"/>
          <w:sz w:val="32"/>
          <w:szCs w:val="32"/>
        </w:rPr>
        <w:t>。单位价值100万元（含）以上设备（不含车辆）</w:t>
      </w:r>
      <w:r>
        <w:rPr>
          <w:rFonts w:ascii="Times New Roman" w:eastAsia="仿宋_GB2312"/>
          <w:b w:val="false"/>
          <w:sz w:val="32"/>
          <w:szCs w:val="32"/>
        </w:rPr>
        <w:t>0</w:t>
      </w:r>
      <w:r>
        <w:rPr>
          <w:rFonts w:ascii="Times New Roman" w:eastAsia="仿宋_GB2312"/>
          <w:b w:val="false"/>
          <w:sz w:val="32"/>
          <w:szCs w:val="32"/>
        </w:rPr>
        <w:t>台（套）。</w:t>
      </w:r>
    </w:p>
    <w:p>
      <w:pPr>
        <w:widowControl w:val="true"/>
        <w:spacing w:before="0" w:beforeLines="0" w:beforeAutospacing="false" w:after="0" w:afterLines="0" w:afterAutospacing="false" w:line="360" w:lineRule="auto"/>
        <w:ind w:firstLine="200" w:firstLineChars="200"/>
        <w:jc w:val="left"/>
        <w:outlineLvl w:val="1"/>
        <w:rPr>
          <w:rFonts w:ascii="Times New Roman" w:eastAsia="黑体"/>
          <w:sz w:val="32"/>
          <w:szCs w:val="32"/>
        </w:rPr>
      </w:pPr>
      <w:r>
        <w:rPr>
          <w:rFonts w:ascii="Times New Roman" w:eastAsia="黑体"/>
          <w:b w:val="false"/>
          <w:sz w:val="32"/>
          <w:szCs w:val="32"/>
        </w:rPr>
        <w:t>九、关于2024年度绩效评价情况的说明</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（一）绩效评价工作开展情况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根据预算绩效管理要求，</w:t>
      </w:r>
      <w:r>
        <w:rPr>
          <w:rFonts w:ascii="Times New Roman" w:eastAsia="仿宋_GB2312"/>
          <w:b w:val="false"/>
          <w:sz w:val="32"/>
          <w:szCs w:val="32"/>
        </w:rPr>
        <w:t>本部门</w:t>
      </w:r>
      <w:r>
        <w:rPr>
          <w:rFonts w:ascii="Times New Roman" w:eastAsia="仿宋_GB2312"/>
          <w:b w:val="false"/>
          <w:sz w:val="32"/>
          <w:szCs w:val="32"/>
        </w:rPr>
        <w:t>组织对2024年度本级预算项目支出全面开展绩效自评，共涉及资金</w:t>
      </w:r>
      <w:r>
        <w:rPr>
          <w:rFonts w:ascii="Times New Roman" w:eastAsia="仿宋_GB2312"/>
          <w:b w:val="false"/>
          <w:sz w:val="32"/>
          <w:szCs w:val="32"/>
        </w:rPr>
        <w:t/>
      </w:r>
      <w:r>
        <w:rPr>
          <w:rFonts w:ascii="Times New Roman" w:eastAsia="仿宋_GB2312"/>
          <w:b w:val="false"/>
          <w:sz w:val="32"/>
          <w:szCs w:val="32"/>
        </w:rPr>
        <w:t>万元（决算金额）。其中，一般公共预算项目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万元，占一般公共预算项目支出总额的</w:t>
      </w:r>
      <w:r>
        <w:rPr>
          <w:rFonts w:ascii="Times New Roman" w:eastAsia="仿宋_GB2312"/>
          <w:b w:val="false"/>
          <w:sz w:val="32"/>
          <w:szCs w:val="32"/>
        </w:rPr>
        <w:t/>
      </w:r>
      <w:r>
        <w:rPr>
          <w:rFonts w:ascii="Times New Roman" w:eastAsia="仿宋_GB2312"/>
          <w:b w:val="false"/>
          <w:sz w:val="32"/>
          <w:szCs w:val="32"/>
        </w:rPr>
        <w:t>%；政府性基金预算项目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万元，占政府性基金预算项目支出总额的</w:t>
      </w:r>
      <w:r>
        <w:rPr>
          <w:rFonts w:ascii="Times New Roman" w:eastAsia="仿宋_GB2312"/>
          <w:b w:val="false"/>
          <w:sz w:val="32"/>
          <w:szCs w:val="32"/>
        </w:rPr>
        <w:t/>
      </w:r>
      <w:r>
        <w:rPr>
          <w:rFonts w:ascii="Times New Roman" w:eastAsia="仿宋_GB2312"/>
          <w:b w:val="false"/>
          <w:sz w:val="32"/>
          <w:szCs w:val="32"/>
        </w:rPr>
        <w:t>%；国有资本经营预算项目</w:t>
      </w:r>
      <w:r>
        <w:rPr>
          <w:rFonts w:ascii="Times New Roman" w:eastAsia="仿宋_GB2312"/>
          <w:b w:val="false"/>
          <w:sz w:val="32"/>
          <w:szCs w:val="32"/>
        </w:rPr>
        <w:t/>
      </w:r>
      <w:r>
        <w:rPr>
          <w:rFonts w:ascii="Times New Roman" w:eastAsia="仿宋_GB2312"/>
          <w:b w:val="false"/>
          <w:sz w:val="32"/>
          <w:szCs w:val="32"/>
        </w:rPr>
        <w:t>个，涉及资金</w:t>
      </w:r>
      <w:r>
        <w:rPr>
          <w:rFonts w:ascii="Times New Roman" w:eastAsia="仿宋_GB2312"/>
          <w:b w:val="false"/>
          <w:sz w:val="32"/>
          <w:szCs w:val="32"/>
        </w:rPr>
        <w:t/>
      </w:r>
      <w:r>
        <w:rPr>
          <w:rFonts w:ascii="Times New Roman" w:eastAsia="仿宋_GB2312"/>
          <w:b w:val="false"/>
          <w:sz w:val="32"/>
          <w:szCs w:val="32"/>
        </w:rPr>
        <w:t>万元，占国有资本经营预算项目支出总额的</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组织对</w:t>
      </w:r>
      <w:r>
        <w:rPr>
          <w:rFonts w:ascii="Times New Roman" w:eastAsia="仿宋_GB2312"/>
          <w:b w:val="false"/>
          <w:sz w:val="32"/>
          <w:szCs w:val="32"/>
        </w:rPr>
        <w:t/>
      </w:r>
      <w:r>
        <w:rPr>
          <w:rFonts w:ascii="Times New Roman" w:eastAsia="仿宋_GB2312"/>
          <w:b w:val="false"/>
          <w:sz w:val="32"/>
          <w:szCs w:val="32"/>
        </w:rPr>
        <w:t>等</w:t>
      </w:r>
      <w:r>
        <w:rPr>
          <w:rFonts w:ascii="Times New Roman" w:eastAsia="仿宋_GB2312"/>
          <w:b w:val="false"/>
          <w:sz w:val="32"/>
          <w:szCs w:val="32"/>
        </w:rPr>
        <w:t/>
      </w:r>
      <w:r>
        <w:rPr>
          <w:rFonts w:ascii="Times New Roman" w:eastAsia="仿宋_GB2312"/>
          <w:b w:val="false"/>
          <w:sz w:val="32"/>
          <w:szCs w:val="32"/>
        </w:rPr>
        <w:t>个项目开展了部门重点评价，涉及一般公共预算支出</w:t>
      </w:r>
      <w:r>
        <w:rPr>
          <w:rFonts w:ascii="Times New Roman" w:eastAsia="仿宋_GB2312"/>
          <w:b w:val="false"/>
          <w:sz w:val="32"/>
          <w:szCs w:val="32"/>
        </w:rPr>
        <w:t/>
      </w:r>
      <w:r>
        <w:rPr>
          <w:rFonts w:ascii="Times New Roman" w:eastAsia="仿宋_GB2312"/>
          <w:b w:val="false"/>
          <w:sz w:val="32"/>
          <w:szCs w:val="32"/>
        </w:rPr>
        <w:t>万元，政府性基金预算支出</w:t>
      </w:r>
      <w:r>
        <w:rPr>
          <w:rFonts w:ascii="Times New Roman" w:eastAsia="仿宋_GB2312"/>
          <w:b w:val="false"/>
          <w:sz w:val="32"/>
          <w:szCs w:val="32"/>
        </w:rPr>
        <w:t/>
      </w:r>
      <w:r>
        <w:rPr>
          <w:rFonts w:ascii="Times New Roman" w:eastAsia="仿宋_GB2312"/>
          <w:b w:val="false"/>
          <w:sz w:val="32"/>
          <w:szCs w:val="32"/>
        </w:rPr>
        <w:t>万元，国有资本经营预算支出</w:t>
      </w:r>
      <w:r>
        <w:rPr>
          <w:rFonts w:ascii="Times New Roman" w:eastAsia="仿宋_GB2312"/>
          <w:b w:val="false"/>
          <w:sz w:val="32"/>
          <w:szCs w:val="32"/>
        </w:rPr>
        <w:t/>
      </w:r>
      <w:r>
        <w:rPr>
          <w:rFonts w:ascii="Times New Roman" w:eastAsia="仿宋_GB2312"/>
          <w:b w:val="false"/>
          <w:sz w:val="32"/>
          <w:szCs w:val="32"/>
        </w:rPr>
        <w:t>万元，从评价情况来看，</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（二）部门决算中项目绩效自评结果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本部门</w:t>
      </w:r>
      <w:r>
        <w:rPr>
          <w:rFonts w:ascii="Times New Roman" w:eastAsia="仿宋_GB2312"/>
          <w:b w:val="false"/>
          <w:sz w:val="32"/>
          <w:szCs w:val="32"/>
        </w:rPr>
        <w:t>在今年部门决算公开中反映 </w:t>
      </w:r>
      <w:r>
        <w:rPr>
          <w:rFonts w:ascii="Times New Roman" w:eastAsia="仿宋_GB2312"/>
          <w:b w:val="false"/>
          <w:sz w:val="32"/>
          <w:szCs w:val="32"/>
        </w:rPr>
        <w:t/>
      </w:r>
      <w:r>
        <w:rPr>
          <w:rFonts w:ascii="Times New Roman" w:eastAsia="仿宋_GB2312"/>
          <w:b w:val="false"/>
          <w:sz w:val="32"/>
          <w:szCs w:val="32"/>
        </w:rPr>
        <w:t>等</w:t>
      </w:r>
      <w:r>
        <w:rPr>
          <w:rFonts w:ascii="Times New Roman" w:eastAsia="仿宋_GB2312"/>
          <w:b w:val="false"/>
          <w:sz w:val="32"/>
          <w:szCs w:val="32"/>
        </w:rPr>
        <w:t/>
      </w:r>
      <w:r>
        <w:rPr>
          <w:rFonts w:ascii="Times New Roman" w:eastAsia="仿宋_GB2312"/>
          <w:b w:val="false"/>
          <w:sz w:val="32"/>
          <w:szCs w:val="32"/>
        </w:rPr>
        <w:t>个项目绩效自评结果。</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r>
        <w:rPr>
          <w:rFonts w:ascii="Times New Roman" w:eastAsia="仿宋_GB2312"/>
          <w:b w:val="false"/>
          <w:sz w:val="32"/>
          <w:szCs w:val="32"/>
        </w:rPr>
        <w:t>项目绩效自评情况：根据年初设定的绩效目标，</w:t>
      </w:r>
      <w:r>
        <w:rPr>
          <w:rFonts w:ascii="Times New Roman" w:eastAsia="仿宋_GB2312"/>
          <w:b w:val="false"/>
          <w:sz w:val="32"/>
          <w:szCs w:val="32"/>
        </w:rPr>
        <w:t/>
      </w:r>
      <w:r>
        <w:rPr>
          <w:rFonts w:ascii="Times New Roman" w:eastAsia="仿宋_GB2312"/>
          <w:b w:val="false"/>
          <w:sz w:val="32"/>
          <w:szCs w:val="32"/>
        </w:rPr>
        <w:t>项目绩效自评得分为</w:t>
      </w:r>
      <w:r>
        <w:rPr>
          <w:rFonts w:ascii="Times New Roman" w:eastAsia="仿宋_GB2312"/>
          <w:b w:val="false"/>
          <w:sz w:val="32"/>
          <w:szCs w:val="32"/>
        </w:rPr>
        <w:t/>
      </w:r>
      <w:r>
        <w:rPr>
          <w:rFonts w:ascii="Times New Roman" w:eastAsia="仿宋_GB2312"/>
          <w:b w:val="false"/>
          <w:sz w:val="32"/>
          <w:szCs w:val="32"/>
        </w:rPr>
        <w:t>分（绩效自评表附后）。全年预算数为</w:t>
      </w:r>
      <w:r>
        <w:rPr>
          <w:rFonts w:ascii="Times New Roman" w:eastAsia="仿宋_GB2312"/>
          <w:b w:val="false"/>
          <w:sz w:val="32"/>
          <w:szCs w:val="32"/>
        </w:rPr>
        <w:t/>
      </w:r>
      <w:r>
        <w:rPr>
          <w:rFonts w:ascii="Times New Roman" w:eastAsia="仿宋_GB2312"/>
          <w:b w:val="false"/>
          <w:sz w:val="32"/>
          <w:szCs w:val="32"/>
        </w:rPr>
        <w:t>万元，执行数为</w:t>
      </w:r>
      <w:r>
        <w:rPr>
          <w:rFonts w:ascii="Times New Roman" w:eastAsia="仿宋_GB2312"/>
          <w:b w:val="false"/>
          <w:sz w:val="32"/>
          <w:szCs w:val="32"/>
        </w:rPr>
        <w:t/>
      </w:r>
      <w:r>
        <w:rPr>
          <w:rFonts w:ascii="Times New Roman" w:eastAsia="仿宋_GB2312"/>
          <w:b w:val="false"/>
          <w:sz w:val="32"/>
          <w:szCs w:val="32"/>
        </w:rPr>
        <w:t>万元，完成预算的</w:t>
      </w:r>
      <w:r>
        <w:rPr>
          <w:rFonts w:ascii="Times New Roman" w:eastAsia="仿宋_GB2312"/>
          <w:b w:val="false"/>
          <w:sz w:val="32"/>
          <w:szCs w:val="32"/>
        </w:rPr>
        <w:t/>
      </w:r>
      <w:r>
        <w:rPr>
          <w:rFonts w:ascii="Times New Roman" w:eastAsia="仿宋_GB2312"/>
          <w:b w:val="false"/>
          <w:sz w:val="32"/>
          <w:szCs w:val="32"/>
        </w:rPr>
        <w:t>%。项目绩效目标完成情况：一是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。发现的主要问题及原因是：一是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。下一步改进措施：一是</w:t>
      </w:r>
      <w:r>
        <w:rPr>
          <w:rFonts w:ascii="Times New Roman" w:eastAsia="仿宋_GB2312"/>
          <w:b w:val="false"/>
          <w:sz w:val="32"/>
          <w:szCs w:val="32"/>
        </w:rPr>
        <w:t/>
      </w:r>
      <w:r>
        <w:rPr>
          <w:rFonts w:ascii="Times New Roman" w:eastAsia="仿宋_GB2312"/>
          <w:b w:val="false"/>
          <w:sz w:val="32"/>
          <w:szCs w:val="32"/>
        </w:rPr>
        <w:t>；二是</w:t>
      </w:r>
      <w:r>
        <w:rPr>
          <w:rFonts w:ascii="Times New Roman" w:eastAsia="仿宋_GB2312"/>
          <w:b w:val="false"/>
          <w:sz w:val="32"/>
          <w:szCs w:val="32"/>
        </w:rPr>
        <w:t/>
      </w:r>
      <w:r>
        <w:rPr>
          <w:rFonts w:ascii="Times New Roman" w:eastAsia="仿宋_GB2312"/>
          <w:b w:val="false"/>
          <w:sz w:val="32"/>
          <w:szCs w:val="32"/>
        </w:rPr>
        <w:t>。</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（三）部门评价项目绩效评价结果（如有）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w:r>
    </w:p>
    <w:p>
      <w:pPr>
        <w:widowControl w:val="true"/>
        <w:spacing w:before="0" w:beforeLines="0" w:beforeAutospacing="false" w:after="0" w:afterLines="0" w:afterAutospacing="false" w:line="360" w:lineRule="auto"/>
        <w:ind w:firstLine="200" w:firstLineChars="200"/>
        <w:jc w:val="left"/>
        <w:rPr>
          <w:rFonts w:ascii="Times New Roman" w:eastAsia="黑体"/>
          <w:sz w:val="32"/>
          <w:szCs w:val="32"/>
        </w:rPr>
      </w:pPr>
      <w:r>
        <w:rPr>
          <w:rFonts w:ascii="Times New Roman" w:eastAsia="黑体"/>
          <w:b w:val="false"/>
          <w:sz w:val="32"/>
          <w:szCs w:val="32"/>
        </w:rPr>
        <w:t>十、其他需要说明的情况</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 1. </w:t>
      </w:r>
      <w:r>
        <w:rPr>
          <w:rFonts w:ascii="Times New Roman" w:eastAsia="仿宋_GB2312"/>
          <w:b w:val="false"/>
          <w:sz w:val="32"/>
          <w:szCs w:val="32"/>
        </w:rPr>
        <w:t>本部门</w:t>
      </w:r>
      <w:r>
        <w:rPr>
          <w:rFonts w:ascii="Times New Roman" w:eastAsia="仿宋_GB2312"/>
          <w:b w:val="false"/>
          <w:sz w:val="32"/>
          <w:szCs w:val="32"/>
        </w:rPr>
        <w:t>2024年度</w:t>
      </w:r>
      <w:r>
        <w:rPr>
          <w:rFonts w:ascii="Times New Roman" w:eastAsia="仿宋_GB2312"/>
          <w:b w:val="false"/>
          <w:sz w:val="32"/>
          <w:szCs w:val="32"/>
        </w:rPr>
        <w:t>收入支出决算总表（公开01表）、收入决算表（公开02表）、支出决算表（公开03表）、财政拨款收入支出决算总表（公开04表）、一般公共预算财政拨款支出决算表（公开05表）、一般公共预算财政拨款基本支出决算明细表（公开06表）、政府性基金预算财政拨款收入支出决算表（公开07表）、国有资本经营预算财政拨款支出决算表（公开08表）、财政拨款“三公”经费支出决算表（公开09表）</w:t>
      </w:r>
      <w:r>
        <w:rPr>
          <w:rFonts w:ascii="Times New Roman" w:eastAsia="仿宋_GB2312"/>
          <w:b w:val="false"/>
          <w:sz w:val="32"/>
          <w:szCs w:val="32"/>
        </w:rPr>
        <w:t>无相应收支，故空表列示。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false"/>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val="true"/>
        <w:spacing w:before="0" w:beforeLines="0" w:beforeAutospacing="false" w:after="0" w:afterLines="0" w:afterAutospacing="false" w:line="360" w:lineRule="auto"/>
        <w:ind/>
        <w:jc w:val="center"/>
        <w:outlineLvl w:val="0"/>
        <w:rPr>
          <w:rFonts w:ascii="Times New Roman" w:eastAsia="黑体"/>
          <w:sz w:val="44"/>
          <w:szCs w:val="44"/>
        </w:rPr>
      </w:pPr>
      <w:r>
        <w:rPr>
          <w:rFonts w:ascii="Times New Roman" w:eastAsia="黑体"/>
          <w:b w:val="false"/>
          <w:sz w:val="44"/>
          <w:szCs w:val="44"/>
        </w:rPr>
        <w:t>第四部分 名词解释</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一、财政拨款收入：</w:t>
      </w:r>
      <w:r>
        <w:rPr>
          <w:rFonts w:ascii="Times New Roman" w:eastAsia="仿宋_GB2312"/>
          <w:b w:val="false"/>
          <w:sz w:val="32"/>
          <w:szCs w:val="32"/>
        </w:rPr>
        <w:t>指单位从同级财政部门取得的财政预算资金。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二、事业收入：</w:t>
      </w:r>
      <w:r>
        <w:rPr>
          <w:rFonts w:ascii="Times New Roman" w:eastAsia="仿宋_GB2312"/>
          <w:b w:val="false"/>
          <w:sz w:val="32"/>
          <w:szCs w:val="32"/>
        </w:rPr>
        <w:t>指事业单位开展专业业务活动及辅助活动取得的收入。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三、经营收入：</w:t>
      </w:r>
      <w:r>
        <w:rPr>
          <w:rFonts w:ascii="Times New Roman" w:eastAsia="仿宋_GB2312"/>
          <w:b w:val="false"/>
          <w:sz w:val="32"/>
          <w:szCs w:val="32"/>
        </w:rPr>
        <w:t>指事业单位在专业业务活动及其辅助活动之外开展非独立核算经营活动取得的收入。</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四、其他收入：</w:t>
      </w:r>
      <w:r>
        <w:rPr>
          <w:rFonts w:ascii="Times New Roman" w:eastAsia="仿宋_GB2312"/>
          <w:b w:val="false"/>
          <w:sz w:val="32"/>
          <w:szCs w:val="32"/>
        </w:rPr>
        <w:t>指单位取得的除上述收入以外的各项收入。主要是事业单位固定资产出租收入、存款利息收入等。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五、使用非财政拨款结余（含专用结余）：</w:t>
      </w:r>
      <w:r>
        <w:rPr>
          <w:rFonts w:ascii="Times New Roman" w:eastAsia="仿宋_GB2312"/>
          <w:b w:val="false"/>
          <w:sz w:val="32"/>
          <w:szCs w:val="32"/>
        </w:rPr>
        <w:t>指事业单位按照预算管理要求使用非财政拨款结余弥补收支差额的金额，以及使用专用结余安排支出的金额。</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六、年初结转和结余：</w:t>
      </w:r>
      <w:r>
        <w:rPr>
          <w:rFonts w:ascii="Times New Roman" w:eastAsia="仿宋_GB2312"/>
          <w:b w:val="false"/>
          <w:sz w:val="32"/>
          <w:szCs w:val="32"/>
        </w:rPr>
        <w:t>指单位以前年度尚未完成、结转到本年仍按原规定用途继续使用的资金，或项目已完成等产生的结余资金。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七、结余分配：</w:t>
      </w:r>
      <w:r>
        <w:rPr>
          <w:rFonts w:ascii="Times New Roman" w:eastAsia="仿宋_GB2312"/>
          <w:b w:val="false"/>
          <w:sz w:val="32"/>
          <w:szCs w:val="32"/>
        </w:rPr>
        <w:t>指事业单位按照会计制度规定缴纳的所得税、提取的专用结余以及转入非财政拨款结余的金额等。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八、年末结转和结余：</w:t>
      </w:r>
      <w:r>
        <w:rPr>
          <w:rFonts w:ascii="Times New Roman" w:eastAsia="仿宋_GB2312"/>
          <w:b w:val="false"/>
          <w:sz w:val="32"/>
          <w:szCs w:val="32"/>
        </w:rPr>
        <w:t>指单位按有关规定结转到下年或以后年度继续使用的资金，或项目已完成等产生的结余资金。</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九、基本支出：</w:t>
      </w:r>
      <w:r>
        <w:rPr>
          <w:rFonts w:ascii="Times New Roman" w:eastAsia="仿宋_GB2312"/>
          <w:b w:val="false"/>
          <w:sz w:val="32"/>
          <w:szCs w:val="32"/>
        </w:rPr>
        <w:t>指为保障机构正常运转、完成日常工作任务而发生的人员支出和公用支出。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十、项目支出：</w:t>
      </w:r>
      <w:r>
        <w:rPr>
          <w:rFonts w:ascii="Times New Roman" w:eastAsia="仿宋_GB2312"/>
          <w:b w:val="false"/>
          <w:sz w:val="32"/>
          <w:szCs w:val="32"/>
        </w:rPr>
        <w:t>指在基本支出之外为完成特定行政任务和事业发展目标所发生的支出。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十一、经营支出 ：</w:t>
      </w:r>
      <w:r>
        <w:rPr>
          <w:rFonts w:ascii="Times New Roman" w:eastAsia="仿宋_GB2312"/>
          <w:b w:val="false"/>
          <w:sz w:val="32"/>
          <w:szCs w:val="32"/>
        </w:rPr>
        <w:t>指事业单位在专业业务活动及其辅助活动之外开展非独立核算经营活动发生的支出。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十二、基本建设支出：</w:t>
      </w:r>
      <w:r>
        <w:rPr>
          <w:rFonts w:ascii="Times New Roman" w:eastAsia="仿宋_GB2312"/>
          <w:b w:val="false"/>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十三、其他资本性支出：</w:t>
      </w:r>
      <w:r>
        <w:rPr>
          <w:rFonts w:ascii="Times New Roman" w:eastAsia="仿宋_GB2312"/>
          <w:b w:val="false"/>
          <w:sz w:val="32"/>
          <w:szCs w:val="32"/>
        </w:rPr>
        <w:t>填列由各级非发展与改革部门集中安排的用于购置固定资产、战备性和应急性储备、土地和无形资产，以及购建基础设施、大型修缮和财政支持企业更新改造所发生的支出。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十四、“三公”经费：</w:t>
      </w:r>
      <w:r>
        <w:rPr>
          <w:rFonts w:ascii="Times New Roman" w:eastAsia="仿宋_GB2312"/>
          <w:b w:val="false"/>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十五、其他交通费用：</w:t>
      </w:r>
      <w:r>
        <w:rPr>
          <w:rFonts w:ascii="Times New Roman" w:eastAsia="仿宋_GB2312"/>
          <w:b w:val="false"/>
          <w:sz w:val="32"/>
          <w:szCs w:val="32"/>
        </w:rPr>
        <w:t>填列单位除公务用车运行维护费以外的其他交通费用。如公务交通补贴、租车费用、出租车费用，飞机、船舶等燃料费、维修费、保险费等。</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十六、公务用车购置：</w:t>
      </w:r>
      <w:r>
        <w:rPr>
          <w:rFonts w:ascii="Times New Roman" w:eastAsia="仿宋_GB2312"/>
          <w:b w:val="false"/>
          <w:sz w:val="32"/>
          <w:szCs w:val="32"/>
        </w:rPr>
        <w:t>填列单位公务用车车辆购置支出（含车辆购置税、牌照费）。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十七、其他交通工具购置：</w:t>
      </w:r>
      <w:r>
        <w:rPr>
          <w:rFonts w:ascii="Times New Roman" w:eastAsia="仿宋_GB2312"/>
          <w:b w:val="false"/>
          <w:sz w:val="32"/>
          <w:szCs w:val="32"/>
        </w:rPr>
        <w:t>填列单位除公务用车外的其他各类交通工具（如船舶、飞机等）购置支出（含车辆购置税、牌照费）。</w:t>
      </w:r>
    </w:p>
    <w:p>
      <w:pPr>
        <w:widowControl w:val="true"/>
        <w:spacing w:before="0" w:beforeLines="0" w:beforeAutospacing="false" w:after="0" w:afterLines="0" w:afterAutospacing="false" w:line="360" w:lineRule="auto"/>
        <w:ind w:firstLine="200" w:firstLineChars="200"/>
        <w:jc w:val="left"/>
        <w:rPr>
          <w:rFonts w:ascii="Times New Roman" w:eastAsia="仿宋_GB2312"/>
          <w:sz w:val="32"/>
          <w:szCs w:val="32"/>
        </w:rPr>
      </w:pPr>
      <w:r>
        <w:rPr>
          <w:rFonts w:ascii="Times New Roman" w:eastAsia="仿宋_GB2312"/>
          <w:b w:val="true"/>
          <w:sz w:val="32"/>
          <w:szCs w:val="32"/>
        </w:rPr>
        <w:t>十八、机关运行经费：</w:t>
      </w:r>
      <w:r>
        <w:rPr>
          <w:rFonts w:ascii="Times New Roman" w:eastAsia="仿宋_GB2312"/>
          <w:b w:val="false"/>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w:type="default" r:id="rId21"/>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false"/>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06925B3-B179-4DA5-825D-49BCB09F6F46}"/>
  </w:font>
  <w:font w:name="黑体">
    <w:panose1 w:val="02010609060101010101"/>
    <w:charset w:val="86"/>
    <w:family w:val="auto"/>
    <w:pitch w:val="default"/>
    <w:sig w:usb0="800002BF" w:usb1="38CF7CFA" w:usb2="00000016" w:usb3="00000000" w:csb0="00040001" w:csb1="00000000"/>
    <w:embedRegular r:id="rId2" w:fontKey="{A968838E-1B01-4BC3-AD63-F010CC58ED2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52A8052E-AFFB-49B9-8B5F-33DAA7781B67}"/>
  </w:font>
  <w:font w:name="仿宋">
    <w:panose1 w:val="02010609060101010101"/>
    <w:charset w:val="86"/>
    <w:family w:val="modern"/>
    <w:pitch w:val="default"/>
    <w:sig w:usb0="800002BF" w:usb1="38CF7CFA" w:usb2="00000016" w:usb3="00000000" w:csb0="00040001" w:csb1="00000000"/>
    <w:embedRegular r:id="rId4" w:fontKey="{5969C809-C1DD-495C-BE9A-21B314E2BF7B}"/>
  </w:font>
  <w:font w:name="Calibri Light">
    <w:panose1 w:val="020F0302020204030204"/>
    <w:charset w:val="00"/>
    <w:family w:val="auto"/>
    <w:pitch w:val="default"/>
    <w:sig w:usb0="E4002EFF" w:usb1="C2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B37DE4FC-AE24-4FEF-8457-2595C4A750B4}"/>
  </w:font>
  <w:font w:name="方正小标宋_GBK">
    <w:panose1 w:val="02000000000000000000"/>
    <w:charset w:val="86"/>
    <w:family w:val="script"/>
    <w:pitch w:val="default"/>
    <w:sig w:usb0="A00002BF" w:usb1="38CF7CFA" w:usb2="00082016" w:usb3="00000000" w:csb0="00040001" w:csb1="00000000"/>
    <w:embedRegular r:id="rId6" w:fontKey="{9D819AA7-BA24-4AA5-A309-5DE1B19D90F0}"/>
  </w:font>
  <w:font w:name="仿宋_GB2312">
    <w:panose1 w:val="02010609030101010101"/>
    <w:charset w:val="86"/>
    <w:family w:val="auto"/>
    <w:pitch w:val="default"/>
    <w:sig w:usb0="00000001" w:usb1="080E0000" w:usb2="00000000" w:usb3="00000000" w:csb0="00040000" w:csb1="00000000"/>
    <w:embedRegular r:id="rId7" w:fontKey="{A0616CF8-7A5D-4A9A-9979-81D77F1DC34A}"/>
  </w:font>
  <w:font w:name="ArialUnicodeMS">
    <w:altName w:val="Malgun Gothic"/>
    <w:panose1 w:val="00000000000000000000"/>
    <w:charset w:val="81"/>
    <w:family w:val="auto"/>
    <w:pitch w:val="default"/>
    <w:sig w:usb0="00000000" w:usb1="00000000" w:usb2="00000010" w:usb3="00000000" w:csb0="00080001" w:csb1="00000000"/>
    <w:embedRegular r:id="rId8" w:fontKey="{7884C9CE-BAB3-4815-9418-43872C0EAE6E}"/>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4F3F0362-44EC-43DE-A0EB-311B750065F0}"/>
  </w:font>
</w:fonts>
</file>

<file path=word/footer.xml><?xml version="1.0" encoding="utf-8"?>
<w:ftr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pPr>
      <w:jc w:val="center"/>
    </w:pPr>
    <w:r>
      <w:fldChar w:fldCharType="begin"/>
    </w:r>
    <w:r>
      <w:t xml:space="preserve">PAGE</w:t>
    </w:r>
    <w:r>
      <w:fldChar w:fldCharType="separate"/>
    </w:r>
    <w:r>
      <w:t>1</w:t>
    </w:r>
    <w:r>
      <w:fldChar w:fldCharType="end"/>
    </w:r>
  </w:p>
</w:ftr>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B46A3">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header.xml><?xml version="1.0" encoding="utf-8"?>
<w:hdr xmlns:w="http://schemas.openxmlformats.org/wordprocessingml/2006/main" xmlns:w15="http://schemas.microsoft.com/office/word/2012/wordml" xmlns:w14="http://schemas.microsoft.com/office/word/2010/wordml" xmlns:r="http://schemas.openxmlformats.org/officeDocument/2006/relationships" xmlns:a="http://schemas.openxmlformats.org/drawingml/2006/main" xmlns:a14="http://schemas.microsoft.com/office/drawing/2010/main" xmlns:m="http://schemas.openxmlformats.org/officeDocument/2006/math" xmlns:wp="http://schemas.openxmlformats.org/drawingml/2006/wordprocessingDrawing"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w10="urn:schemas-microsoft-com:office:word" xmlns:v="urn:schemas-microsoft-com:vml"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msink="http://schemas.microsoft.com/ink/2010/main" xmlns:cdr14="http://schemas.microsoft.com/office/drawing/2010/chartDrawing" xmlns:c15="http://schemas.microsoft.com/office/drawing/2012/chart" xmlns:cs="http://schemas.microsoft.com/office/drawing/2012/chartStyle" xmlns:ns38="http://www.w3.org/1998/Math/MathML" xmlns:ns39="http://www.w3.org/2003/InkML" xmlns:a13cmd="http://schemas.microsoft.com/office/drawing/2013/main/command" xmlns:cx="http://schemas.microsoft.com/office/drawing/2014/chartex" xmlns:c16="http://schemas.microsoft.com/office/drawing/2014/chart" xmlns:dgm1611="http://schemas.microsoft.com/office/drawing/2016/11/diagram" xmlns:c173="http://schemas.microsoft.com/office/drawing/2017/03/chart" xmlns:am3d="http://schemas.microsoft.com/office/drawing/2017/model3d" xmlns:an18="http://schemas.microsoft.com/office/drawing/2018/animation" xmlns:anam3d="http://schemas.microsoft.com/office/drawing/2018/animation/model3d" xmlns:iact="http://schemas.microsoft.com/office/powerpoint/2014/inkAction" xmlns:thm15="http://schemas.microsoft.com/office/thememl/2012/main" xmlns:wps="http://schemas.microsoft.com/office/word/2010/wordprocessingShape" xmlns:wpc="http://schemas.microsoft.com/office/word/2010/wordprocessingCanvas" xmlns:wpg="http://schemas.microsoft.com/office/word/2010/wordprocessingGroup"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xmlns:dgm14="http://schemas.microsoft.com/office/drawing/2010/diagram" xmlns:a15="http://schemas.microsoft.com/office/drawing/2012/main" xmlns:pic14="http://schemas.microsoft.com/office/drawing/2010/picture" xmlns:c16ac="http://schemas.microsoft.com/office/drawing/2014/chart/ac" xmlns:a16="http://schemas.microsoft.com/office/drawing/2014/main" xmlns:a1611="http://schemas.microsoft.com/office/drawing/2016/11/main" xmlns:dgm1612="http://schemas.microsoft.com/office/drawing/2016/12/diagram" xmlns:a16svg="http://schemas.microsoft.com/office/drawing/2016/SVG/main" xmlns:adec="http://schemas.microsoft.com/office/drawing/2017/decorative" xmlns:a18hc="http://schemas.microsoft.com/office/drawing/2018/hyperlinkcolor" xmlns:wp15="http://schemas.microsoft.com/office/word/2012/wordprocessingDrawing">
  <w:p/>
</w:hd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10" Target="media/image1.jpeg" Type="http://schemas.openxmlformats.org/officeDocument/2006/relationships/image"/><Relationship Id="rId11" Target="charts/chart1.xml" Type="http://schemas.openxmlformats.org/officeDocument/2006/relationships/chart"/><Relationship Id="rId12" Target="charts/chart2.xml" Type="http://schemas.openxmlformats.org/officeDocument/2006/relationships/chart"/><Relationship Id="rId13" Target="charts/chart3.xml" Type="http://schemas.openxmlformats.org/officeDocument/2006/relationships/chart"/><Relationship Id="rId14" Target="charts/chart4.xml" Type="http://schemas.openxmlformats.org/officeDocument/2006/relationships/chart"/><Relationship Id="rId15" Target="charts/chart5.xml" Type="http://schemas.openxmlformats.org/officeDocument/2006/relationships/chart"/><Relationship Id="rId16" Target="charts/chart6.xml" Type="http://schemas.openxmlformats.org/officeDocument/2006/relationships/chart"/><Relationship Id="rId17" Target="../customXml/item1.xml" Type="http://schemas.openxmlformats.org/officeDocument/2006/relationships/customXml"/><Relationship Id="rId18" Target="numbering.xml" Type="http://schemas.openxmlformats.org/officeDocument/2006/relationships/numbering"/><Relationship Id="rId19" Target="fontTable.xml" Type="http://schemas.openxmlformats.org/officeDocument/2006/relationships/fontTable"/><Relationship Id="rId2" Target="settings.xml" Type="http://schemas.openxmlformats.org/officeDocument/2006/relationships/settings"/><Relationship Id="rId20" Target="header.xml" Type="http://schemas.openxmlformats.org/officeDocument/2006/relationships/header"/><Relationship Id="rId21" Target="footer.xml" Type="http://schemas.openxmlformats.org/officeDocument/2006/relationships/footer"/><Relationship Id="rId3" Target="footer1.xml" Type="http://schemas.openxmlformats.org/officeDocument/2006/relationships/footer"/><Relationship Id="rId4" Target="header1.xml" Type="http://schemas.openxmlformats.org/officeDocument/2006/relationships/header"/><Relationship Id="rId5" Target="header2.xml" Type="http://schemas.openxmlformats.org/officeDocument/2006/relationships/header"/><Relationship Id="rId6" Target="footer2.xml" Type="http://schemas.openxmlformats.org/officeDocument/2006/relationships/footer"/><Relationship Id="rId7" Target="footer3.xml" Type="http://schemas.openxmlformats.org/officeDocument/2006/relationships/footer"/><Relationship Id="rId8" Target="header3.xml" Type="http://schemas.openxmlformats.org/officeDocument/2006/relationships/header"/><Relationship Id="rId9" Target="theme/theme1.xml" Type="http://schemas.openxmlformats.org/officeDocument/2006/relationships/theme"/></Relationships>
</file>

<file path=word/_rels/fontTable.xml.rels><?xml version="1.0" encoding="UTF-8" standalone="yes"?><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 Id="rId9" Target="fonts/font9.odttf" Type="http://schemas.openxmlformats.org/officeDocument/2006/relationships/font"/></Relationships>
</file>

<file path=word/charts/_rels/chart1.xml.rels><?xml version="1.0" encoding="UTF-8" standalone="yes"?><Relationships xmlns="http://schemas.openxmlformats.org/package/2006/relationships"><Relationship Id="rId1" Target="../embeddings/Workbook4.xlsx" Type="http://schemas.openxmlformats.org/officeDocument/2006/relationships/package"/><Relationship Id="rId2" Target="style4.xml" Type="http://schemas.microsoft.com/office/2011/relationships/chartStyle"/><Relationship Id="rId3" Target="colors4.xml" Type="http://schemas.microsoft.com/office/2011/relationships/chartColorStyle"/></Relationships>
</file>

<file path=word/charts/_rels/chart2.xml.rels><?xml version="1.0" encoding="UTF-8" standalone="yes"?><Relationships xmlns="http://schemas.openxmlformats.org/package/2006/relationships"><Relationship Id="rId1" Target="../embeddings/Workbook6.xlsx" Type="http://schemas.openxmlformats.org/officeDocument/2006/relationships/package"/><Relationship Id="rId2" Target="style6.xml" Type="http://schemas.microsoft.com/office/2011/relationships/chartStyle"/><Relationship Id="rId3" Target="colors6.xml" Type="http://schemas.microsoft.com/office/2011/relationships/chartColorStyle"/></Relationships>
</file>

<file path=word/charts/_rels/chart3.xml.rels><?xml version="1.0" encoding="UTF-8" standalone="yes"?><Relationships xmlns="http://schemas.openxmlformats.org/package/2006/relationships"><Relationship Id="rId1" Target="../embeddings/Workbook3.xlsx" Type="http://schemas.openxmlformats.org/officeDocument/2006/relationships/package"/><Relationship Id="rId2" Target="style3.xml" Type="http://schemas.microsoft.com/office/2011/relationships/chartStyle"/><Relationship Id="rId3" Target="colors3.xml" Type="http://schemas.microsoft.com/office/2011/relationships/chartColorStyle"/></Relationships>
</file>

<file path=word/charts/_rels/chart4.xml.rels><?xml version="1.0" encoding="UTF-8" standalone="yes"?><Relationships xmlns="http://schemas.openxmlformats.org/package/2006/relationships"><Relationship Id="rId1" Target="../embeddings/Workbook5.xlsx" Type="http://schemas.openxmlformats.org/officeDocument/2006/relationships/package"/><Relationship Id="rId2" Target="style5.xml" Type="http://schemas.microsoft.com/office/2011/relationships/chartStyle"/><Relationship Id="rId3" Target="colors5.xml" Type="http://schemas.microsoft.com/office/2011/relationships/chartColorStyle"/></Relationships>
</file>

<file path=word/charts/_rels/chart5.xml.rels><?xml version="1.0" encoding="UTF-8" standalone="yes"?><Relationships xmlns="http://schemas.openxmlformats.org/package/2006/relationships"><Relationship Id="rId1" Target="../embeddings/Workbook2.xlsx" Type="http://schemas.openxmlformats.org/officeDocument/2006/relationships/package"/><Relationship Id="rId2" Target="style2.xml" Type="http://schemas.microsoft.com/office/2011/relationships/chartStyle"/><Relationship Id="rId3" Target="colors2.xml" Type="http://schemas.microsoft.com/office/2011/relationships/chartColorStyle"/></Relationships>
</file>

<file path=word/charts/_rels/chart6.xml.rels><?xml version="1.0" encoding="UTF-8" standalone="yes"?><Relationships xmlns="http://schemas.openxmlformats.org/package/2006/relationships"><Relationship Id="rId1" Target="../embeddings/Workbook1.xlsx" Type="http://schemas.openxmlformats.org/officeDocument/2006/relationships/package"/><Relationship Id="rId2" Target="style1.xml" Type="http://schemas.microsoft.com/office/2011/relationships/chartStyle"/><Relationship Id="rId3" Target="colors1.xml" Type="http://schemas.microsoft.com/office/2011/relationships/chartColorStyle"/></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ptCount val="2"/>
                <c:pt idx="0">
                  <c:v>2435.81</c:v>
                </c:pt>
                <c:pt idx="1">
                  <c:v>1000.07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ptCount val="6"/>
                <c:pt idx="0">
                  <c:v>0.0</c:v>
                </c:pt>
                <c:pt idx="1">
                  <c:v>0.0</c:v>
                </c:pt>
                <c:pt idx="2">
                  <c:v>0.0</c:v>
                </c:pt>
                <c:pt idx="3">
                  <c:v>0.0</c:v>
                </c:pt>
                <c:pt idx="4">
                  <c:v>0.0</c:v>
                </c:pt>
                <c:pt idx="5">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ptCount val="5"/>
                <c:pt idx="0">
                  <c:v>0.0</c:v>
                </c:pt>
                <c:pt idx="1">
                  <c:v>0.0</c:v>
                </c:pt>
                <c:pt idx="2">
                  <c:v>0.0</c:v>
                </c:pt>
                <c:pt idx="3">
                  <c:v>0.0</c:v>
                </c:pt>
                <c:pt idx="4">
                  <c:v>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2435.81</c:v>
                </c:pt>
                <c:pt idx="1">
                  <c:v>2435.81</c:v>
                </c:pt>
                <c:pt idx="2">
                  <c:v>1173.31</c:v>
                </c:pt>
                <c:pt idx="3">
                  <c:v>1173.31</c:v>
                </c:pt>
                <c:pt idx="4">
                  <c:v>1262.51</c:v>
                </c:pt>
                <c:pt idx="5">
                  <c:v>1262.51</c:v>
                </c:pt>
                <c:pt idx="6">
                  <c:v>0.0</c:v>
                </c:pt>
                <c:pt idx="7">
                  <c:v>0.0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1000.07</c:v>
                </c:pt>
                <c:pt idx="1">
                  <c:v>1000.07</c:v>
                </c:pt>
                <c:pt idx="2">
                  <c:v>1000.07</c:v>
                </c:pt>
                <c:pt idx="3">
                  <c:v>1000.07</c:v>
                </c:pt>
                <c:pt idx="4">
                  <c:v>0.0</c:v>
                </c:pt>
                <c:pt idx="5">
                  <c:v>0.0</c:v>
                </c:pt>
                <c:pt idx="6">
                  <c:v>0.0</c:v>
                </c:pt>
                <c:pt idx="7">
                  <c:v>0.0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ptCount val="8"/>
                <c:pt idx="0">
                  <c:v>1022.47</c:v>
                </c:pt>
                <c:pt idx="1">
                  <c:v>1022.47</c:v>
                </c:pt>
                <c:pt idx="2">
                  <c:v>844.99</c:v>
                </c:pt>
                <c:pt idx="3">
                  <c:v>844.99</c:v>
                </c:pt>
                <c:pt idx="4">
                  <c:v>177.48</c:v>
                </c:pt>
                <c:pt idx="5">
                  <c:v>177.48</c:v>
                </c:pt>
                <c:pt idx="6">
                  <c:v>0.0</c:v>
                </c:pt>
                <c:pt idx="7">
                  <c:v>0.0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ptCount val="8"/>
                <c:pt idx="0">
                  <c:v>1000.07</c:v>
                </c:pt>
                <c:pt idx="1">
                  <c:v>1000.07</c:v>
                </c:pt>
                <c:pt idx="2">
                  <c:v>1000.07</c:v>
                </c:pt>
                <c:pt idx="3">
                  <c:v>1000.07</c:v>
                </c:pt>
                <c:pt idx="4">
                  <c:v>0.0</c:v>
                </c:pt>
                <c:pt idx="5">
                  <c:v>0.0</c:v>
                </c:pt>
                <c:pt idx="6">
                  <c:v>0.0</c:v>
                </c:pt>
                <c:pt idx="7">
                  <c:v>0.0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ptCount val="26"/>
                <c:pt idx="0">
                  <c:v>600.77</c:v>
                </c:pt>
                <c:pt idx="1">
                  <c:v>0.0</c:v>
                </c:pt>
                <c:pt idx="2">
                  <c:v>0.0</c:v>
                </c:pt>
                <c:pt idx="3">
                  <c:v>0.0</c:v>
                </c:pt>
                <c:pt idx="4">
                  <c:v>0.0</c:v>
                </c:pt>
                <c:pt idx="5">
                  <c:v>0.0</c:v>
                </c:pt>
                <c:pt idx="6">
                  <c:v>0.0</c:v>
                </c:pt>
                <c:pt idx="7">
                  <c:v>36.3</c:v>
                </c:pt>
                <c:pt idx="8">
                  <c:v>31.36</c:v>
                </c:pt>
                <c:pt idx="9">
                  <c:v>5.0</c:v>
                </c:pt>
                <c:pt idx="10">
                  <c:v>0.0</c:v>
                </c:pt>
                <c:pt idx="11">
                  <c:v>291.08</c:v>
                </c:pt>
                <c:pt idx="12">
                  <c:v>0.0</c:v>
                </c:pt>
                <c:pt idx="13">
                  <c:v>0.0</c:v>
                </c:pt>
                <c:pt idx="14">
                  <c:v>0.0</c:v>
                </c:pt>
                <c:pt idx="15">
                  <c:v>0.0</c:v>
                </c:pt>
                <c:pt idx="16">
                  <c:v>0.0</c:v>
                </c:pt>
                <c:pt idx="17">
                  <c:v>0.0</c:v>
                </c:pt>
                <c:pt idx="18">
                  <c:v>35.56</c:v>
                </c:pt>
                <c:pt idx="19">
                  <c:v>0.0</c:v>
                </c:pt>
                <c:pt idx="20">
                  <c:v>0.0</c:v>
                </c:pt>
                <c:pt idx="21">
                  <c:v>0.0</c:v>
                </c:pt>
                <c:pt idx="22">
                  <c:v>0.0</c:v>
                </c:pt>
                <c:pt idx="23">
                  <c:v>0.0</c:v>
                </c:pt>
                <c:pt idx="24">
                  <c:v>0.0</c:v>
                </c:pt>
                <c:pt idx="25">
                  <c:v>0.0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16</TotalTime>
  <ScaleCrop>false</ScaleCrop>
  <LinksUpToDate>false</LinksUpToDate>
  <CharactersWithSpaces>2170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2023-08-04T07:55:00Z</dcterms:created>
  <dc:creator>王明新TIAD</dc:creator>
  <cp:lastModifiedBy>柠檬哒</cp:lastModifiedBy>
  <cp:lastPrinted>2023-08-04T01:00:00Z</cp:lastPrinted>
  <dcterms:modified xsi:type="dcterms:W3CDTF">2025-08-18T08:34:38Z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