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225</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：中共元氏县委机构编制委员会办公室</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中共元氏县委机构编制委员会办公室</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中共元氏县委机构编制委员会办公室</w:t>
      </w:r>
      <w:bookmarkStart w:id="0" w:name="_GoBack"/>
      <w:bookmarkEnd w:id="0"/>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（一）贯彻落实党中央和省、市、县委关于行政管理体制和 机构改革以及机构编制管理的政策法规，组织起草相关规范性文件草案并监督实施。管理和指导县纪委监委机关、县委各机关、县人大机关、县政府各部门、县政协机关、人民团体县级机关（以 下简称“党政群机关”），以及事业单位机构编制工作。组织开展行政管理体制改革、事业单位管理体制改革及机构编制工作基础性、创新性和前瞻性研究。 （二）组织拟订全县行政管理体制改革和县委、县政府机构改革方案并组织实施。负责全县行政管理体制和机构改革以及机构编制管理工作；负责行政执法体制改革工作。 （三）按照规定权限，负责县级党政群机关、各乡（镇）以及部门派出机构的职能配置、机构设置、人员编制和领导职数管理工作；负责协调县委、县政府各部门职能配置及其调整，协调县委、县政府各部门之间以及县直部门与乡（镇）之间职责分工；负责需要承办的县域内垂直管理部门或双重管理部门（单位）机构编制有关工作。 （四）组织拟订全县事业单位管理体制改革和机构改革方案。按照规定权限，负责县委、县政府直属事业单位和县直部门、乡（镇）所属事业单位的职能配置、机构设置、人员编制、领导职数和机构编制分类管理工作。 （五）负责全县党政群机关统一社会信用代码赋码管理工 作，负责全县事业单位法人登记管理和监督检查工作。 （六）负责全县开发区（园区）行政管理体制改革工作。负责全县各类开发区（园区）职能配置、机构设置、人员编制和领导职数拟订及上报工作。 （七）负责全县机构编制的总量控制、动态管理。组织拟订县本级年度编制使用计划，审核县直及乡（镇）机关事业单位招录、招聘和政策性安置等计划；负责县直机关事业单位编制使用核准；负责机构编制实名制管理工作；建立健全机构编制部门与有关部门的协调配合约束机制。 （八）负责跟踪评估、监督检查全县各级行政、事业单位管理体制改革、机构改革及机构编制政策执行情况；负责受理违反机构编制法规、纪律的检举、控告和投诉，对违反机构编制法规、纪律问题进行调查处理。 （九）负责全县机构编制电子政务和信息化工作。负责全县机构编制统计工作；负责机构编制网站的管理、使用和维护；负责党政群机关、事业单位和其他非营利性单位网上名称管理工作。 （十）完成县委、县政府和县委机构编制委员会交办的其他任务。 （十一）有关职责分工。县委编办负责全县公益类事业单位管理体制改革工作。县发展和改革局负责生产经营类事业单位管理体制改革工作。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中共元氏县委机构编制委员会办公室(本级)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部门（单位）：中共元氏县委机构编制委员会办公室</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部门（单位）：中共元氏县委机构编制委员会办公室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164.66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164.66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部门（单位）：中共元氏县委机构编制委员会办公室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部门（单位）：中共元氏县委机构编制委员会办公室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131.05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131.05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10.83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164.66</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66"/>
        <w:gridCol w:w="3050"/>
        <w:gridCol w:w="1015"/>
        <w:gridCol w:w="685"/>
        <w:gridCol w:w="717"/>
        <w:gridCol w:w="343"/>
        <w:gridCol w:w="11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编制部门（单位）：中共元氏县委机构编制委员会办公室</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部门（单位）：中共元氏县委机构编制委员会办公室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122.13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43.08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17.34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14.22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11.64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122.13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部门（单位）：中共元氏县委机构编制委员会办公室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部门（单位）：中共元氏县委机构编制委员会办公室</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部门（单位）：中共元氏县委机构编制委员会办公室</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2.69</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0.09</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2.06</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2.06</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2.06</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本部门2024年度收、支总计（含结转和结余）均为164.66万元。与2023年度决算相比，收支各增加1.29万元，增长0.8%，主要原因是人员调入，增加人员工资福利，增加项目费用。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164.66万元，其中：财政拨款收入164.66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本部门2024年度本年支出合计164.66万元，其中：基本支出138.53万元，占84.1%；项目支出26.13万元，占15.9%；上缴上级支出0.00万元，占0.0%；经营支出0.00万元，占0.0%；对附属单位补助支出0.00万元，占0.0%。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本部门2024年度财政拨款收、支总计（含结转和结余）均为164.66万元。与2023年度相比，财政拨款收支各增加1.29万元，增长0.8%，主要原因是人员调入，工资福利费用增加，人员经费增加。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164.66万元,比上年增加1.36万元，增长0.8%，主要原因是人员调入，工资福利费用增加，人员经费增加；本年支出164.66万元，比上年增加1.29万元，增长0.8%，主要原因是人员调入，工资福利费用增加，人员经费增加。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164.66万元,比上年增加1.36万元，增长0.8%，主要原因是人员调入，工资福利费用增加，人员经费增加；本年支出164.66万元，比上年增加1.29万元，增长0.8%，主要原因是人员调入，工资福利费用增加，人员经费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部门无政府性基金预算财政拨款收入；本年支出0.00万元，比上年增加0.00万元，增长0.00%，主要原因是本部门无政府性基金预算财政拨款收入。</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部门无国有资本经营预算财政拨款本年收入；本年支出0.00万元，比上年增加0.00万元，增长0.00%，主要原因是本部门无国有资本经营预算财政拨款本年收入。</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164.66万元，完成年初预算的99.7%，比年初预算减少0.57万元，决算数小于预算数主要原因是人员经费减少以及主动压缩开支、节约支出；本年支出164.66万元，完成年初预算的99.7%，比年初预算减少0.57万元，决算数小于预算数主要原因是人员经费减少以及主动压缩开支、节约支出。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99.7%，比年初预算减少0.57万元，主要原因是人员经费减少以及主动压缩开支、节约支出；支出完成年初预算的99.7%，比年初预算减少0.57万元，主要原因是人员经费减少以及主动压缩开支、节约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部门无政府性基金预算财政拨款收入；支出完成年初预算的0.0%，比年初预算增加0.00万元，主要原因是部门无政府性基金预算财政拨款收入。</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本部门无国有资本经营预算财政拨款收入；支出完成年初预算的0.0%，比年初预算增加0.00万元，主要原因是本部门无政府性基金预算财政拨款收入。</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2024年度财政拨款支出164.66万元，主要用于以下方面：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131.05万元，占79.6%，主要用于机构日常运转和核心业务开展等支出；外交（类）支出0.00万元，占0.0%，主要用于无此项等支出；国防（类）支出0.00万元，占0.0%，主要用于无此项等支出；公共安全类（类）支出0.00万元，占0.0%，主要用于无此项等支出；教育（类）支出0.00万元，占0.0%，主要用于无此项等支出；科学技术（类）支出0.00万元，占0.0%，主要用于无此项等支出；文化旅游体育与传媒（类）支出0.00万元，占0.0%，主要用于无此项等支出；社会保障和就业（类）支出11.64万元，占7.1%，主要用于机关事业单位基本养老保险缴费支出以及职业年金缴费支出等支出；卫生健康（类）支出11.13万元，占6.8%，主要用于保障单位职工基本医疗保险费用，包含职工基本医疗保险费支出以及公务员医疗补助等支出；节能环保（类）支出0.00万元，占0.0%，主要用于无此项等支出；城乡社区（类）支出0.00万元，占0.0%，主要用于无此项等支出；农林水（类）支出0.00万元，占0.0%，主要用于无此项等支出；交通运输（类）支出0.00万元，占0.0%，主要用于无此项等支出；资源勘探信息等（类）支出0.00万元，占0.0%，主要用于无此项等支出；商业服务业等（类）支出0.00万元，占0.0%，主要用于无此项等支出；金融（类）支出0.00万元，占0.0%，主要用于无此项等支出；援助其他地区（类）支出0.00万元，占0.0%，主要用于无此项等支出；自然资源海洋气象等（类）支出0.00万元，占0.0%，主要用于无此项等支出；住房保障（类）支出10.83万元，占6.6%，主要用于为职工缴纳的住房公积金等支出；粮油物资储备（类）支出0.00万元，占0.0%，主要用于无此项等支出；国有资本经营预算支出0.00万元，占0.0%，主要用于无此项等支出；害防治及应急管理（类）支出0.00万元，占0.0%，主要用于无此项等支出；其他（类）支出0.00万元，占0.0%，主要用于无此项等支出；债务还本（类）支出0.00万元，占0.0%，主要用于无此项等支出；债务付息（类）支出0.00万元，占0.0%，主要用于无此项等支出；抗疫特别国债安排的支出0.00万元，占0.0%，主要用于无此项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无此项等支出；外交（类）支出0.00万元，占0.0%，主要用于无此项等支出；国防（类）支出0.00万元，占0.0%，主要用于无此项等支出；公共安全类（类）支出0.00万元，占0.0%，主要用于无此项等支出；教育（类）支出0.00万元，占0.0%，主要用于无此项等支出；科学技术（类）支出0.00万元，占0.0%，主要用于无此项等支出；文化旅游体育与传媒（类）支出0.00万元，占0.0%，主要用于无此项等支出；社会保障和就业（类）支出0.00万元，占0.0%，主要用于无此项等支出；卫生健康（类）支出0.00万元，占0.0%，主要用于无此项等支出；节能环保（类）支出0.00万元，占0.0%，主要用于无此项等支出；城乡社区（类）支出0.00万元，占0.0%，主要用于无此项等支出；农林水（类）支出0.00万元，占0.0%，主要用于无此项等支出；交通运输（类）支出0.00万元，占0.0%，主要用于无此项等支出；资源勘探信息等（类）支出0.00万元，占0.0%，主要用于无此项等支出；商业服务业等（类）支出0.00万元，占0.0%，主要用于无此项等支出；金融（类）支出0.00万元，占0.0%，主要用于无此项等支出；援助其他地区（类）支出0.00万元，占0.0%，主要用于无此项等支出；自然资源海洋气象等（类）支出0.00万元，占0.0%，主要用于无此项等支出；住房保障（类）支出0.00万元，占0.0%，主要用于无此项等支出；粮油物资储备（类）支出0.00万元，占0.0%，主要用于无此项等支出；国有资本经营预算支出0.00万元，占0.0%，主要用于无此项等支出；害防治及应急管理（类）支出0.00万元，占0.0%，主要用于无此项等支出；其他（类）支出0.00万元，占0.0%，主要用于无此项等支出；债务还本（类）支出0.00万元，占0.0%，主要用于无此项等支出；债务付息（类）支出0.00万元，占0.0%，主要用于无此项等支出；抗疫特别国债安排的支出0.00万元，占0.00%，主要用于无此项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无此项等支出；外交（类）支出0.00万元，占0.0%，主要用于无此项等支出；国防（类）支出0.00万元，占0.0%，主要用于无此项等支出；公共安全（类）支出0.00万元，占0.0%，主要用于无此项等支出；教育（类）支出0.00万元，占0.0%，主要用于无此项等支出；科学技术（类）支出0.00万元，占0.0%，主要用于无此项等支出；文化旅游体育与传媒（类）支出0.00万元，占0.0%，主要用于无此项等支出；社会保障和就业（类）支出0.00万元，占0.0%，主要用于无此项等支出；卫生健康（类）支出0.00万元，占0.0%，主要用于无此项等支出；节能环保（类）支出0.00万元，占0.0%，主要用于无此项等支出；城乡社区（类）支出0.00万元，占0.0%，主要用于无此项等支出；农林水（类）支出0.00万元，占0.0%，主要用于无此项等支出；交通运输（类）支出0.00万元，占0.0%，主要用于无此项等支出；资源勘探信息等（类）支出0.00万元，占0.0%，主要用于无此项等支出；商业服务业等（类）支出0.00万元，占0.0%，主要用于无此项等支出；金融（类）支出0.00万元，占0.0%，主要用于无此项等支出；援助其他地区（类）支出0.00万元，占0.0%，主要用于无此项等支出；自然资源海洋气象等（类）支出0.00万元，占0.0%，主要用于无此项等支出；住房保障（类）支出0.00万元，占0.0%，主要用于无此项等支出；粮油物资储备（类）支出0.00万元，占0.0%，主要用于无此项等支出；国有资本经营预算支出0.00万元，占0.0%，主要用于无此项等支出；害防治及应急管理（类）支出0.00万元，占0.0%，主要用于无此项等支出；其他（类）支出0.00万元，占0.0%，主要用于无此项等支出；债务还本（类）支出0.00万元，占0.0%，主要用于无此项等支出；债务付息（类）支出0.00万元，占0.0%，主要用于无此项等支出；抗疫特别国债安排的支出0.00万元，占0.0%，主要用于无此项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2024年度财政拨款基本支出138.53万元，其中：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122.13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16.40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2.69万元，支出决算为2.06万元，完成预算的76.6%，较预算减少0.63万元，降低23.4%，主要原因是控制公务用车使用；较2023年度决算减少0.30万元，降低12.7%，主要原因是控制公务用车使用。</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没有人员因公出国（境））；较上年增加0.00万元，增长0.00%,主要原因是没有人员因公出国（境）。因公出国（境）团组0个、共0人、参加其他单位组织的因公出国（境）团组0个、共0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2.60万元，支出决算2.06万元，完成预算的79.2%,较预算减少0.54万元，降低20.8%,主要原因是响应政府厉行节约号召，减少公务用车使用；较上年减少0.30万元，降低12.7%,主要原因是响应政府厉行节约号召，减少公务用车使用。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我部门没有公务用车购置费；较上年增加0.00万元，增长0.00%,主要原因是我部门没有公务用车购置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公务用车运行维护费支出2.06万元：</w:t>
      </w:r>
      <w:r>
        <w:rPr>
          <w:rFonts w:ascii="Times New Roman" w:eastAsia="仿宋_GB2312"/>
          <w:b w:val="0"/>
          <w:sz w:val="32"/>
          <w:szCs w:val="32"/>
        </w:rPr>
        <w:t>本部门2024年度单位公务用车保有量1辆，发生运行维护费支出2.06万元。公车运行维护费支出较预算减少0.54万元，降低20.8%,主要原因是响应政府厉行节约号召，减少公务用车使用；较上年减少0.30万元，降低12.7%，主要原因是响应政府厉行节约号召，减少公务用车使用。</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0.09万元，支出决算0.00万元，完成预算的0.0%。公务接待费支出较预算减少0.09万元，降低100.0%,主要原因是我部门没有公务接待；较上年度增加0.00万元，增长0.00%,主要原因是我部门没有公务接待。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本部门2024年度机关运行经费支出16.40万元，较2023年度减少0.38万元，降低2.2%。主要原因是响应政府号召厉行节约，减少支出。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本年度没有购进新的公务用车。其中，副部（省）级及以上领导用车0辆，主要负责人用车0辆，机要通信用车0辆，应急保障用车1辆，执法执勤用车0辆，特种专业技术用车0辆，离退休干部用车0辆，其他用车0辆，其他用车主要是无其他用车。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26.1303万元（决算金额）。其中，一般公共预算项目2个，涉及资金26.1303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中文域名日常经费等1个项目开展了部门重点评价，涉及一般公共预算支出5.138万元，政府性基金预算支出0万元，国有资本经营预算支出0万元，从评价情况来看，项目不仅全部完成，而且项目立项、绩效目标设计和预算编制合理，项目资金严格执行相关规定，项目完成质量较高，很好达到预期目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本部门在今年部门决算公开中反映中文域名日常经费等1个项目绩效自评结果。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中文域名日常经费项目绩效自评情况：根据年初设定的绩效目标，中文域名日常经费项目绩效自评得分为100分（绩效自评表附后）。全年预算数为5.138万元，执行数为5.138万元，完成预算的100%。项目绩效目标完成情况：一是根据项目执行情况和项目绩效情况总得分100份；二是项目综合评价结论和项目综合绩效评价为优秀。发现的主要问题及原因是：一是项目前期支出进度慢；二是对中文域名项目的认识不透彻。下一步改进措施：一是尽量均衡支出；二是继续加强学习。</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B464C134-8743-4565-93F1-36FD9379D539}"/>
  </w:font>
  <w:font w:name="黑体">
    <w:altName w:val="hakuyoxingshu7000"/>
    <w:panose1 w:val="02010609060101010101"/>
    <w:charset w:val="86"/>
    <w:family w:val="auto"/>
    <w:pitch w:val="default"/>
    <w:sig w:usb0="800002BF" w:usb1="38CF7CFA" w:usb2="00000016" w:usb3="00000000" w:csb0="00040001" w:csb1="00000000"/>
    <w:embedRegular r:id="rId2" w:fontKey="{0918ECEC-2B8C-43FB-82C0-62D3F9929E8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B7B72497-F00F-40DB-A9E5-BA6809080AF6}"/>
  </w:font>
  <w:font w:name="仿宋">
    <w:panose1 w:val="02010609060101010101"/>
    <w:charset w:val="86"/>
    <w:family w:val="modern"/>
    <w:pitch w:val="default"/>
    <w:sig w:usb0="800002BF" w:usb1="38CF7CFA" w:usb2="00000016" w:usb3="00000000" w:csb0="00040001" w:csb1="00000000"/>
    <w:embedRegular r:id="rId4" w:fontKey="{F9665D58-3569-4B54-8013-A7B41A3A5AAA}"/>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F553609-970C-4AAB-8775-E6289EE25FCB}"/>
  </w:font>
  <w:font w:name="方正小标宋_GBK">
    <w:panose1 w:val="02000000000000000000"/>
    <w:charset w:val="86"/>
    <w:family w:val="script"/>
    <w:pitch w:val="default"/>
    <w:sig w:usb0="A00002BF" w:usb1="38CF7CFA" w:usb2="00082016" w:usb3="00000000" w:csb0="00040001" w:csb1="00000000"/>
    <w:embedRegular r:id="rId6" w:fontKey="{A35FC60B-0D9D-4B06-9986-ADAB9FE4782E}"/>
  </w:font>
  <w:font w:name="hakuyoxingshu7000">
    <w:panose1 w:val="02000600000000000000"/>
    <w:charset w:val="86"/>
    <w:family w:val="auto"/>
    <w:pitch w:val="default"/>
    <w:sig w:usb0="FFFFFFFF" w:usb1="E9FFFFFF" w:usb2="0000003F" w:usb3="00000000" w:csb0="603F00FF" w:csb1="FFFF0000"/>
  </w:font>
  <w:font w:name="仿宋_GB2312">
    <w:panose1 w:val="02010609030101010101"/>
    <w:charset w:val="86"/>
    <w:family w:val="auto"/>
    <w:pitch w:val="default"/>
    <w:sig w:usb0="00000001" w:usb1="080E0000" w:usb2="00000000" w:usb3="00000000" w:csb0="00040000" w:csb1="00000000"/>
    <w:embedRegular r:id="rId7" w:fontKey="{7BE37CAE-0B38-4F24-B439-3D509DAAA62E}"/>
  </w:font>
  <w:font w:name="ArialUnicodeMS">
    <w:altName w:val="Times New Roman"/>
    <w:panose1 w:val="00000000000000000000"/>
    <w:charset w:val="81"/>
    <w:family w:val="auto"/>
    <w:pitch w:val="default"/>
    <w:sig w:usb0="00000000" w:usb1="00000000" w:usb2="00000010" w:usb3="00000000" w:csb0="00080001" w:csb1="00000000"/>
    <w:embedRegular r:id="rId8" w:fontKey="{6E1DC23A-A553-4539-B679-920DC0DD3BCB}"/>
  </w:font>
  <w:font w:name="方正仿宋_GB2312">
    <w:panose1 w:val="02000000000000000000"/>
    <w:charset w:val="86"/>
    <w:family w:val="auto"/>
    <w:pitch w:val="default"/>
    <w:sig w:usb0="A00002BF" w:usb1="184F6CFA" w:usb2="00000012" w:usb3="00000000" w:csb0="00040001" w:csb1="00000000"/>
    <w:embedRegular r:id="rId9" w:fontKey="{24BA78D9-302F-438F-89BD-A714CC6658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5D02BB"/>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163.37</c:v>
                </c:pt>
                <c:pt idx="1">
                  <c:v>164.66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1646583.12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1385280.12</c:v>
                </c:pt>
                <c:pt idx="1">
                  <c:v>261303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163.29</c:v>
                </c:pt>
                <c:pt idx="1">
                  <c:v>163.37</c:v>
                </c:pt>
                <c:pt idx="2">
                  <c:v>163.29</c:v>
                </c:pt>
                <c:pt idx="3">
                  <c:v>163.37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164.66</c:v>
                </c:pt>
                <c:pt idx="1">
                  <c:v>164.66</c:v>
                </c:pt>
                <c:pt idx="2">
                  <c:v>164.66</c:v>
                </c:pt>
                <c:pt idx="3">
                  <c:v>164.66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165.23</c:v>
                </c:pt>
                <c:pt idx="1">
                  <c:v>165.23</c:v>
                </c:pt>
                <c:pt idx="2">
                  <c:v>165.23</c:v>
                </c:pt>
                <c:pt idx="3">
                  <c:v>165.23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164.66</c:v>
                </c:pt>
                <c:pt idx="1">
                  <c:v>164.66</c:v>
                </c:pt>
                <c:pt idx="2">
                  <c:v>164.66</c:v>
                </c:pt>
                <c:pt idx="3">
                  <c:v>164.66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131.05</c:v>
                </c:pt>
                <c:pt idx="1">
                  <c:v>0</c:v>
                </c:pt>
                <c:pt idx="2">
                  <c:v>0</c:v>
                </c:pt>
                <c:pt idx="3">
                  <c:v>0</c:v>
                </c:pt>
                <c:pt idx="4">
                  <c:v>0</c:v>
                </c:pt>
                <c:pt idx="5">
                  <c:v>0</c:v>
                </c:pt>
                <c:pt idx="6">
                  <c:v>0</c:v>
                </c:pt>
                <c:pt idx="7">
                  <c:v>11.64</c:v>
                </c:pt>
                <c:pt idx="8">
                  <c:v>11.13</c:v>
                </c:pt>
                <c:pt idx="9">
                  <c:v>0</c:v>
                </c:pt>
                <c:pt idx="10">
                  <c:v>0</c:v>
                </c:pt>
                <c:pt idx="11">
                  <c:v>0</c:v>
                </c:pt>
                <c:pt idx="12">
                  <c:v>0</c:v>
                </c:pt>
                <c:pt idx="13">
                  <c:v>0</c:v>
                </c:pt>
                <c:pt idx="14">
                  <c:v>0</c:v>
                </c:pt>
                <c:pt idx="15">
                  <c:v>0</c:v>
                </c:pt>
                <c:pt idx="16">
                  <c:v>0</c:v>
                </c:pt>
                <c:pt idx="17">
                  <c:v>0</c:v>
                </c:pt>
                <c:pt idx="18">
                  <c:v>10.83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25</TotalTime>
  <ScaleCrop>false</ScaleCrop>
  <LinksUpToDate>false</LinksUpToDate>
  <CharactersWithSpaces>2170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Carrie</cp:lastModifiedBy>
  <cp:lastPrinted>2023-08-04T01:00:00Z</cp:lastPrinted>
  <dcterms:modified xsi:type="dcterms:W3CDTF">2025-09-11T07:45:25Z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