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0A20F1">
      <w:pPr>
        <w:keepNext w:val="0"/>
        <w:keepLines w:val="0"/>
        <w:pageBreakBefore w:val="0"/>
        <w:widowControl w:val="0"/>
        <w:kinsoku/>
        <w:wordWrap/>
        <w:overflowPunct/>
        <w:topLinePunct w:val="0"/>
        <w:autoSpaceDE/>
        <w:bidi w:val="0"/>
        <w:spacing w:line="560" w:lineRule="exact"/>
        <w:jc w:val="center"/>
        <w:textAlignment w:val="auto"/>
        <w:rPr>
          <w:rFonts w:hint="eastAsia" w:ascii="宋体" w:hAnsi="宋体" w:cs="宋体"/>
          <w:b/>
          <w:bCs/>
          <w:sz w:val="44"/>
          <w:szCs w:val="44"/>
          <w:lang w:eastAsia="zh-CN"/>
        </w:rPr>
      </w:pPr>
    </w:p>
    <w:p w14:paraId="5BBB1C18">
      <w:pPr>
        <w:keepNext w:val="0"/>
        <w:keepLines w:val="0"/>
        <w:pageBreakBefore w:val="0"/>
        <w:widowControl w:val="0"/>
        <w:kinsoku/>
        <w:wordWrap/>
        <w:overflowPunct/>
        <w:topLinePunct w:val="0"/>
        <w:autoSpaceDE/>
        <w:bidi w:val="0"/>
        <w:spacing w:line="560" w:lineRule="exact"/>
        <w:jc w:val="center"/>
        <w:textAlignment w:val="auto"/>
        <w:rPr>
          <w:rFonts w:hint="eastAsia" w:ascii="宋体" w:hAnsi="宋体" w:cs="宋体"/>
          <w:b/>
          <w:bCs/>
          <w:sz w:val="44"/>
          <w:szCs w:val="44"/>
          <w:lang w:eastAsia="zh-CN"/>
        </w:rPr>
      </w:pPr>
      <w:r>
        <w:rPr>
          <w:rFonts w:hint="eastAsia" w:ascii="宋体" w:hAnsi="宋体" w:cs="宋体"/>
          <w:b/>
          <w:bCs/>
          <w:sz w:val="44"/>
          <w:szCs w:val="44"/>
          <w:lang w:eastAsia="zh-CN"/>
        </w:rPr>
        <w:t>元氏县数据和政务服务局</w:t>
      </w:r>
    </w:p>
    <w:p w14:paraId="7314E050">
      <w:pPr>
        <w:keepNext w:val="0"/>
        <w:keepLines w:val="0"/>
        <w:pageBreakBefore w:val="0"/>
        <w:widowControl w:val="0"/>
        <w:kinsoku/>
        <w:wordWrap/>
        <w:overflowPunct/>
        <w:topLinePunct w:val="0"/>
        <w:autoSpaceDE/>
        <w:bidi w:val="0"/>
        <w:spacing w:line="560" w:lineRule="exact"/>
        <w:jc w:val="center"/>
        <w:textAlignment w:val="auto"/>
        <w:rPr>
          <w:rFonts w:ascii="宋体" w:hAnsi="宋体" w:cs="宋体"/>
          <w:b/>
          <w:bCs/>
          <w:sz w:val="44"/>
          <w:szCs w:val="44"/>
        </w:rPr>
      </w:pPr>
      <w:r>
        <w:rPr>
          <w:rFonts w:hint="eastAsia" w:ascii="宋体" w:hAnsi="宋体" w:cs="宋体"/>
          <w:b/>
          <w:bCs/>
          <w:sz w:val="44"/>
          <w:szCs w:val="44"/>
        </w:rPr>
        <w:t>2024年度整体支出绩效自评报告</w:t>
      </w:r>
    </w:p>
    <w:p w14:paraId="00F6FD96">
      <w:pPr>
        <w:keepNext w:val="0"/>
        <w:keepLines w:val="0"/>
        <w:pageBreakBefore w:val="0"/>
        <w:widowControl w:val="0"/>
        <w:kinsoku/>
        <w:wordWrap/>
        <w:overflowPunct/>
        <w:topLinePunct w:val="0"/>
        <w:autoSpaceDE/>
        <w:bidi w:val="0"/>
        <w:spacing w:line="560" w:lineRule="exact"/>
        <w:jc w:val="center"/>
        <w:textAlignment w:val="auto"/>
        <w:rPr>
          <w:rFonts w:ascii="华文楷体" w:eastAsia="华文楷体"/>
          <w:sz w:val="32"/>
          <w:szCs w:val="32"/>
        </w:rPr>
      </w:pPr>
      <w:bookmarkStart w:id="0" w:name="_GoBack"/>
      <w:bookmarkEnd w:id="0"/>
    </w:p>
    <w:p w14:paraId="6373DA61">
      <w:pPr>
        <w:keepNext w:val="0"/>
        <w:keepLines w:val="0"/>
        <w:pageBreakBefore w:val="0"/>
        <w:widowControl w:val="0"/>
        <w:kinsoku/>
        <w:wordWrap/>
        <w:overflowPunct/>
        <w:topLinePunct w:val="0"/>
        <w:autoSpaceDE/>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贯彻落实县委县政府《关于全面落实预算绩效管理的实施意见》（元发﹝2019﹞7号）文件精神，遵循“科学性、规范性、客观性和公正性”的原则，对</w:t>
      </w:r>
      <w:r>
        <w:rPr>
          <w:rFonts w:hint="eastAsia" w:ascii="仿宋" w:hAnsi="仿宋" w:eastAsia="仿宋"/>
          <w:sz w:val="32"/>
          <w:szCs w:val="32"/>
          <w:lang w:eastAsia="zh-CN"/>
        </w:rPr>
        <w:t>元氏县数据和政务局</w:t>
      </w:r>
      <w:r>
        <w:rPr>
          <w:rFonts w:hint="eastAsia" w:ascii="仿宋" w:hAnsi="仿宋" w:eastAsia="仿宋"/>
          <w:sz w:val="32"/>
          <w:szCs w:val="32"/>
        </w:rPr>
        <w:t>部门2024年整体支出情况实施了财政支出绩效自评价，形成本评价报告。</w:t>
      </w:r>
    </w:p>
    <w:p w14:paraId="4C8FC03F">
      <w:pPr>
        <w:keepNext w:val="0"/>
        <w:keepLines w:val="0"/>
        <w:pageBreakBefore w:val="0"/>
        <w:widowControl w:val="0"/>
        <w:kinsoku/>
        <w:wordWrap/>
        <w:overflowPunct/>
        <w:topLinePunct w:val="0"/>
        <w:autoSpaceDE/>
        <w:bidi w:val="0"/>
        <w:adjustRightInd w:val="0"/>
        <w:snapToGrid w:val="0"/>
        <w:spacing w:line="560" w:lineRule="exact"/>
        <w:ind w:firstLine="640" w:firstLineChars="200"/>
        <w:textAlignment w:val="auto"/>
        <w:rPr>
          <w:rFonts w:hint="eastAsia" w:ascii="黑体" w:eastAsia="黑体"/>
          <w:b/>
          <w:bCs/>
          <w:sz w:val="32"/>
          <w:szCs w:val="36"/>
        </w:rPr>
      </w:pPr>
      <w:r>
        <w:rPr>
          <w:rFonts w:hint="eastAsia" w:ascii="黑体" w:eastAsia="黑体"/>
          <w:sz w:val="32"/>
          <w:szCs w:val="32"/>
        </w:rPr>
        <w:t>一、部门</w:t>
      </w:r>
      <w:r>
        <w:rPr>
          <w:rFonts w:hint="eastAsia" w:ascii="黑体" w:eastAsia="黑体"/>
          <w:sz w:val="32"/>
          <w:szCs w:val="36"/>
        </w:rPr>
        <w:t>基本情况</w:t>
      </w:r>
    </w:p>
    <w:p w14:paraId="7D91DAE4">
      <w:pPr>
        <w:keepNext w:val="0"/>
        <w:keepLines w:val="0"/>
        <w:pageBreakBefore w:val="0"/>
        <w:widowControl w:val="0"/>
        <w:kinsoku/>
        <w:wordWrap/>
        <w:overflowPunct/>
        <w:topLinePunct w:val="0"/>
        <w:autoSpaceDE/>
        <w:bidi w:val="0"/>
        <w:adjustRightInd w:val="0"/>
        <w:snapToGrid w:val="0"/>
        <w:spacing w:line="560" w:lineRule="exact"/>
        <w:ind w:firstLine="643" w:firstLineChars="200"/>
        <w:textAlignment w:val="auto"/>
        <w:rPr>
          <w:rFonts w:hint="eastAsia" w:ascii="楷体_GB2312" w:eastAsia="楷体_GB2312" w:cs="楷体_GB2312"/>
          <w:b/>
          <w:bCs/>
          <w:sz w:val="32"/>
          <w:szCs w:val="32"/>
          <w:lang w:bidi="ar-SA"/>
        </w:rPr>
      </w:pPr>
      <w:r>
        <w:rPr>
          <w:rFonts w:hint="eastAsia" w:ascii="楷体_GB2312" w:eastAsia="楷体_GB2312" w:cs="楷体_GB2312"/>
          <w:b/>
          <w:bCs/>
          <w:sz w:val="32"/>
          <w:szCs w:val="32"/>
          <w:lang w:bidi="ar-SA"/>
        </w:rPr>
        <w:t>（一）部门概况</w:t>
      </w:r>
    </w:p>
    <w:p w14:paraId="138CECEB">
      <w:pPr>
        <w:keepNext w:val="0"/>
        <w:keepLines w:val="0"/>
        <w:pageBreakBefore w:val="0"/>
        <w:widowControl w:val="0"/>
        <w:kinsoku/>
        <w:wordWrap/>
        <w:overflowPunct/>
        <w:topLinePunct w:val="0"/>
        <w:autoSpaceDE/>
        <w:bidi w:val="0"/>
        <w:snapToGrid w:val="0"/>
        <w:spacing w:line="560" w:lineRule="exact"/>
        <w:ind w:firstLine="640" w:firstLineChars="200"/>
        <w:textAlignment w:val="auto"/>
        <w:rPr>
          <w:rFonts w:hint="eastAsia" w:ascii="仿宋_GB2312" w:hAnsi="仿宋" w:eastAsia="仿宋_GB2312"/>
          <w:sz w:val="32"/>
          <w:szCs w:val="32"/>
          <w:highlight w:val="none"/>
        </w:rPr>
      </w:pPr>
      <w:r>
        <w:rPr>
          <w:rFonts w:hint="eastAsia" w:ascii="仿宋_GB2312" w:hAnsi="仿宋" w:eastAsia="仿宋_GB2312"/>
          <w:sz w:val="32"/>
          <w:szCs w:val="32"/>
          <w:highlight w:val="none"/>
        </w:rPr>
        <w:t>1．主要职能。</w:t>
      </w:r>
    </w:p>
    <w:p w14:paraId="58C6BE7F">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一</w:t>
      </w:r>
      <w:r>
        <w:rPr>
          <w:rFonts w:hint="eastAsia" w:ascii="仿宋_GB2312" w:eastAsia="仿宋_GB2312"/>
          <w:color w:val="auto"/>
          <w:sz w:val="32"/>
          <w:szCs w:val="32"/>
        </w:rPr>
        <w:t>）贯彻落实党中央、国务院和省委、省政府，市委、市政府，县委、县政府关于推进政府职能转变和“放管服”改革、行政审批制度改革、政务服务管理、公共资源交易管理、社会信用体系建设有关方针政策和法律法规。起草有关地方性法规、政府规章草案，制定有关政策措施并组织实施。承担县政府推进政府职能转变和“放管服”改革协调小组办公室的日常工作。</w:t>
      </w:r>
    </w:p>
    <w:p w14:paraId="5C612D42">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二</w:t>
      </w:r>
      <w:r>
        <w:rPr>
          <w:rFonts w:hint="eastAsia" w:ascii="仿宋_GB2312" w:eastAsia="仿宋_GB2312"/>
          <w:color w:val="auto"/>
          <w:sz w:val="32"/>
          <w:szCs w:val="32"/>
        </w:rPr>
        <w:t>）负责规范全县行政审批行为，创新和完善相关工作体制机制。推进简政放权，清理和规范各类行政许可等管理事项；承担县行政审批制度改革领导小组办公室日常工作。</w:t>
      </w:r>
    </w:p>
    <w:p w14:paraId="68D5E9AD">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三</w:t>
      </w:r>
      <w:r>
        <w:rPr>
          <w:rFonts w:hint="eastAsia" w:ascii="仿宋_GB2312" w:eastAsia="仿宋_GB2312"/>
          <w:color w:val="auto"/>
          <w:sz w:val="32"/>
          <w:szCs w:val="32"/>
        </w:rPr>
        <w:t>）负责公共资源交易监督管理工作。拟订全县公共资源交易管理制度和规则并组织实施，编制公共资源交易目录，建设、管理全省统一的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w:t>
      </w:r>
    </w:p>
    <w:p w14:paraId="32F943EF">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四</w:t>
      </w:r>
      <w:r>
        <w:rPr>
          <w:rFonts w:hint="eastAsia" w:ascii="仿宋_GB2312" w:eastAsia="仿宋_GB2312"/>
          <w:color w:val="auto"/>
          <w:sz w:val="32"/>
          <w:szCs w:val="32"/>
        </w:rPr>
        <w:t>）负责投资项目、商事登记、市场服务、文教体卫、社会事务、住建交通、生态环境、安全生产、农林畜水、经贸商务、城市管理等方面行政审批事项的办理，并承担相应的法律责任。</w:t>
      </w:r>
    </w:p>
    <w:p w14:paraId="1DF03302">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五</w:t>
      </w:r>
      <w:r>
        <w:rPr>
          <w:rFonts w:hint="eastAsia" w:ascii="仿宋_GB2312" w:eastAsia="仿宋_GB2312"/>
          <w:color w:val="auto"/>
          <w:sz w:val="32"/>
          <w:szCs w:val="32"/>
        </w:rPr>
        <w:t>）负责规范管理和监督协调</w:t>
      </w:r>
      <w:r>
        <w:rPr>
          <w:rFonts w:hint="eastAsia" w:ascii="仿宋_GB2312" w:eastAsia="仿宋_GB2312"/>
          <w:color w:val="auto"/>
          <w:sz w:val="32"/>
          <w:szCs w:val="32"/>
          <w:lang w:val="en-US" w:eastAsia="zh-CN"/>
        </w:rPr>
        <w:t>进驻</w:t>
      </w:r>
      <w:r>
        <w:rPr>
          <w:rFonts w:hint="eastAsia" w:ascii="仿宋_GB2312" w:eastAsia="仿宋_GB2312"/>
          <w:color w:val="auto"/>
          <w:sz w:val="32"/>
          <w:szCs w:val="32"/>
        </w:rPr>
        <w:t>部门</w:t>
      </w:r>
      <w:r>
        <w:rPr>
          <w:rFonts w:hint="eastAsia" w:ascii="仿宋_GB2312" w:eastAsia="仿宋_GB2312"/>
          <w:color w:val="auto"/>
          <w:sz w:val="32"/>
          <w:szCs w:val="32"/>
          <w:lang w:val="en-US" w:eastAsia="zh-CN"/>
        </w:rPr>
        <w:t>政务服务工作</w:t>
      </w:r>
      <w:r>
        <w:rPr>
          <w:rFonts w:hint="eastAsia" w:ascii="仿宋_GB2312" w:eastAsia="仿宋_GB2312"/>
          <w:color w:val="auto"/>
          <w:sz w:val="32"/>
          <w:szCs w:val="32"/>
        </w:rPr>
        <w:t>。</w:t>
      </w:r>
    </w:p>
    <w:p w14:paraId="4B3DB506">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六</w:t>
      </w:r>
      <w:r>
        <w:rPr>
          <w:rFonts w:hint="eastAsia" w:ascii="仿宋_GB2312" w:eastAsia="仿宋_GB2312"/>
          <w:color w:val="auto"/>
          <w:sz w:val="32"/>
          <w:szCs w:val="32"/>
        </w:rPr>
        <w:t>）负责对行政审批、政务服务事项流程进行规范和优化，推进审批服务便民化、标准化建设。</w:t>
      </w:r>
    </w:p>
    <w:p w14:paraId="27B47623">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七</w:t>
      </w:r>
      <w:r>
        <w:rPr>
          <w:rFonts w:hint="eastAsia" w:ascii="仿宋_GB2312" w:eastAsia="仿宋_GB2312"/>
          <w:color w:val="auto"/>
          <w:sz w:val="32"/>
          <w:szCs w:val="32"/>
        </w:rPr>
        <w:t>）会同有关部门，做好行政审批、政务服务、公共资源交易监督，推行政务服务事项网上办理，形成管理机构、实体大厅、网上平台“三位一体”的政务服务管理模式。</w:t>
      </w:r>
    </w:p>
    <w:p w14:paraId="4DF9A1F3">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八</w:t>
      </w:r>
      <w:r>
        <w:rPr>
          <w:rFonts w:hint="eastAsia" w:ascii="仿宋_GB2312" w:eastAsia="仿宋_GB2312"/>
          <w:color w:val="auto"/>
          <w:sz w:val="32"/>
          <w:szCs w:val="32"/>
        </w:rPr>
        <w:t>）负责全县社会信用体系建设。拟订社会信用体系年度工作要点；推动健全信用法规制度和标准体系；</w:t>
      </w:r>
      <w:r>
        <w:rPr>
          <w:rFonts w:hint="eastAsia" w:ascii="仿宋_GB2312" w:eastAsia="仿宋_GB2312"/>
          <w:color w:val="auto"/>
          <w:sz w:val="32"/>
          <w:szCs w:val="32"/>
          <w:lang w:val="en-US" w:eastAsia="zh-CN"/>
        </w:rPr>
        <w:t>协调</w:t>
      </w:r>
      <w:r>
        <w:rPr>
          <w:rFonts w:hint="eastAsia" w:ascii="仿宋_GB2312" w:eastAsia="仿宋_GB2312"/>
          <w:color w:val="auto"/>
          <w:sz w:val="32"/>
          <w:szCs w:val="32"/>
        </w:rPr>
        <w:t>有关部门做好</w:t>
      </w:r>
      <w:r>
        <w:rPr>
          <w:rFonts w:hint="eastAsia" w:ascii="仿宋_GB2312" w:eastAsia="仿宋_GB2312"/>
          <w:color w:val="auto"/>
          <w:sz w:val="32"/>
          <w:szCs w:val="32"/>
          <w:lang w:val="en-US" w:eastAsia="zh-CN"/>
        </w:rPr>
        <w:t>信用</w:t>
      </w:r>
      <w:r>
        <w:rPr>
          <w:rFonts w:hint="eastAsia" w:ascii="仿宋_GB2312" w:eastAsia="仿宋_GB2312"/>
          <w:color w:val="auto"/>
          <w:sz w:val="32"/>
          <w:szCs w:val="32"/>
        </w:rPr>
        <w:t>数据</w:t>
      </w:r>
      <w:r>
        <w:rPr>
          <w:rFonts w:hint="eastAsia" w:ascii="仿宋_GB2312" w:eastAsia="仿宋_GB2312"/>
          <w:color w:val="auto"/>
          <w:sz w:val="32"/>
          <w:szCs w:val="32"/>
          <w:lang w:val="en-US" w:eastAsia="zh-CN"/>
        </w:rPr>
        <w:t>归集，</w:t>
      </w:r>
      <w:r>
        <w:rPr>
          <w:rFonts w:hint="eastAsia" w:ascii="仿宋_GB2312" w:eastAsia="仿宋_GB2312"/>
          <w:color w:val="auto"/>
          <w:sz w:val="32"/>
          <w:szCs w:val="32"/>
        </w:rPr>
        <w:t>推动信用信息的汇聚、交换、共享和应用；组织实施守信联合激励和失信联合惩罚制度建设，建立诚信综合监督体系；组织开展失信问题专项治理；加强城市信用建设，培育和发展信用服务市场。</w:t>
      </w:r>
    </w:p>
    <w:p w14:paraId="78FD3A01">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九</w:t>
      </w:r>
      <w:r>
        <w:rPr>
          <w:rFonts w:hint="eastAsia" w:ascii="仿宋_GB2312" w:eastAsia="仿宋_GB2312"/>
          <w:color w:val="auto"/>
          <w:sz w:val="32"/>
          <w:szCs w:val="32"/>
        </w:rPr>
        <w:t>）负责对全县行政审批、政务服务行为进行监督检查，对窗口工作人员进行日常管理、教育培训和检查考核。</w:t>
      </w:r>
    </w:p>
    <w:p w14:paraId="5A09BCCB">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ascii="仿宋_GB2312" w:eastAsia="仿宋_GB2312"/>
          <w:color w:val="auto"/>
          <w:sz w:val="32"/>
          <w:szCs w:val="32"/>
        </w:rPr>
      </w:pPr>
      <w:r>
        <w:rPr>
          <w:rFonts w:hint="eastAsia" w:ascii="仿宋_GB2312" w:eastAsia="仿宋_GB2312"/>
          <w:color w:val="auto"/>
          <w:sz w:val="32"/>
          <w:szCs w:val="32"/>
        </w:rPr>
        <w:t>（</w:t>
      </w:r>
      <w:r>
        <w:rPr>
          <w:rFonts w:hint="eastAsia" w:ascii="仿宋_GB2312" w:eastAsia="仿宋_GB2312"/>
          <w:color w:val="auto"/>
          <w:sz w:val="32"/>
          <w:szCs w:val="32"/>
          <w:lang w:eastAsia="zh-CN"/>
        </w:rPr>
        <w:t>十</w:t>
      </w:r>
      <w:r>
        <w:rPr>
          <w:rFonts w:hint="eastAsia" w:ascii="仿宋_GB2312" w:eastAsia="仿宋_GB2312"/>
          <w:color w:val="auto"/>
          <w:sz w:val="32"/>
          <w:szCs w:val="32"/>
        </w:rPr>
        <w:t>）负责县直部门已划转行政许可事项涉及的现场勘验、审图、联合验收等工作。</w:t>
      </w:r>
    </w:p>
    <w:p w14:paraId="3E04C5A6">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ascii="仿宋_GB2312" w:eastAsia="仿宋_GB2312"/>
          <w:color w:val="auto"/>
          <w:sz w:val="32"/>
          <w:szCs w:val="32"/>
        </w:rPr>
      </w:pPr>
      <w:r>
        <w:rPr>
          <w:rFonts w:hint="eastAsia" w:ascii="仿宋_GB2312" w:eastAsia="仿宋_GB2312"/>
          <w:color w:val="auto"/>
          <w:sz w:val="32"/>
          <w:szCs w:val="32"/>
        </w:rPr>
        <w:t>（十</w:t>
      </w:r>
      <w:r>
        <w:rPr>
          <w:rFonts w:hint="eastAsia" w:ascii="仿宋_GB2312" w:eastAsia="仿宋_GB2312"/>
          <w:color w:val="auto"/>
          <w:sz w:val="32"/>
          <w:szCs w:val="32"/>
          <w:lang w:eastAsia="zh-CN"/>
        </w:rPr>
        <w:t>一</w:t>
      </w:r>
      <w:r>
        <w:rPr>
          <w:rFonts w:hint="eastAsia" w:ascii="仿宋_GB2312" w:eastAsia="仿宋_GB2312"/>
          <w:color w:val="auto"/>
          <w:sz w:val="32"/>
          <w:szCs w:val="32"/>
        </w:rPr>
        <w:t>）负责行政审批信息化工作，县级行政审批信息资料的保管、整理、统计、编目和定期检查工作。</w:t>
      </w:r>
    </w:p>
    <w:p w14:paraId="20B56152">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ascii="仿宋_GB2312" w:eastAsia="仿宋_GB2312"/>
          <w:color w:val="auto"/>
          <w:sz w:val="32"/>
          <w:szCs w:val="32"/>
        </w:rPr>
      </w:pPr>
      <w:r>
        <w:rPr>
          <w:rFonts w:hint="eastAsia" w:ascii="仿宋_GB2312" w:eastAsia="仿宋_GB2312"/>
          <w:color w:val="auto"/>
          <w:sz w:val="32"/>
          <w:szCs w:val="32"/>
        </w:rPr>
        <w:t>（十</w:t>
      </w:r>
      <w:r>
        <w:rPr>
          <w:rFonts w:hint="eastAsia" w:ascii="仿宋_GB2312" w:eastAsia="仿宋_GB2312"/>
          <w:color w:val="auto"/>
          <w:sz w:val="32"/>
          <w:szCs w:val="32"/>
          <w:lang w:eastAsia="zh-CN"/>
        </w:rPr>
        <w:t>二</w:t>
      </w:r>
      <w:r>
        <w:rPr>
          <w:rFonts w:hint="eastAsia" w:ascii="仿宋_GB2312" w:eastAsia="仿宋_GB2312"/>
          <w:color w:val="auto"/>
          <w:sz w:val="32"/>
          <w:szCs w:val="32"/>
        </w:rPr>
        <w:t>）指导县经济开发区的行政审批工作。</w:t>
      </w:r>
    </w:p>
    <w:p w14:paraId="592524E3">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rPr>
      </w:pPr>
      <w:r>
        <w:rPr>
          <w:rFonts w:hint="eastAsia" w:ascii="仿宋_GB2312" w:eastAsia="仿宋_GB2312"/>
          <w:color w:val="auto"/>
          <w:sz w:val="32"/>
          <w:szCs w:val="32"/>
        </w:rPr>
        <w:t>（十</w:t>
      </w:r>
      <w:r>
        <w:rPr>
          <w:rFonts w:hint="eastAsia" w:ascii="仿宋_GB2312" w:eastAsia="仿宋_GB2312"/>
          <w:color w:val="auto"/>
          <w:sz w:val="32"/>
          <w:szCs w:val="32"/>
          <w:lang w:eastAsia="zh-CN"/>
        </w:rPr>
        <w:t>三</w:t>
      </w:r>
      <w:r>
        <w:rPr>
          <w:rFonts w:hint="eastAsia" w:ascii="仿宋_GB2312" w:eastAsia="仿宋_GB2312"/>
          <w:color w:val="auto"/>
          <w:sz w:val="32"/>
          <w:szCs w:val="32"/>
        </w:rPr>
        <w:t>）完成县委、县政府交办的其他任务</w:t>
      </w:r>
      <w:r>
        <w:rPr>
          <w:rFonts w:hint="eastAsia" w:ascii="仿宋_GB2312" w:eastAsia="仿宋_GB2312"/>
          <w:color w:val="auto"/>
          <w:sz w:val="32"/>
          <w:szCs w:val="32"/>
          <w:lang w:eastAsia="zh-CN"/>
        </w:rPr>
        <w:t>。</w:t>
      </w:r>
    </w:p>
    <w:p w14:paraId="4F308873">
      <w:pPr>
        <w:keepNext w:val="0"/>
        <w:keepLines w:val="0"/>
        <w:pageBreakBefore w:val="0"/>
        <w:widowControl w:val="0"/>
        <w:kinsoku/>
        <w:wordWrap/>
        <w:overflowPunct/>
        <w:topLinePunct w:val="0"/>
        <w:autoSpaceDE/>
        <w:bidi w:val="0"/>
        <w:snapToGrid w:val="0"/>
        <w:spacing w:line="560" w:lineRule="exact"/>
        <w:ind w:firstLine="640" w:firstLineChars="200"/>
        <w:textAlignment w:val="auto"/>
        <w:rPr>
          <w:rFonts w:hint="eastAsia" w:ascii="仿宋_GB2312" w:hAnsi="仿宋" w:eastAsia="仿宋_GB2312"/>
          <w:sz w:val="32"/>
          <w:szCs w:val="32"/>
          <w:highlight w:val="none"/>
        </w:rPr>
      </w:pPr>
      <w:r>
        <w:rPr>
          <w:rFonts w:hint="eastAsia" w:ascii="仿宋_GB2312" w:hAnsi="仿宋" w:eastAsia="仿宋_GB2312"/>
          <w:sz w:val="32"/>
          <w:szCs w:val="32"/>
          <w:highlight w:val="none"/>
        </w:rPr>
        <w:t>2．机构情况，包括当年变动情况及原因。</w:t>
      </w:r>
    </w:p>
    <w:tbl>
      <w:tblPr>
        <w:tblStyle w:val="4"/>
        <w:tblW w:w="86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901"/>
        <w:gridCol w:w="2148"/>
        <w:gridCol w:w="2611"/>
      </w:tblGrid>
      <w:tr w14:paraId="7E8B5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01" w:type="dxa"/>
            <w:noWrap w:val="0"/>
            <w:vAlign w:val="center"/>
          </w:tcPr>
          <w:p w14:paraId="338CD0CE">
            <w:pPr>
              <w:keepNext w:val="0"/>
              <w:keepLines w:val="0"/>
              <w:pageBreakBefore w:val="0"/>
              <w:widowControl w:val="0"/>
              <w:kinsoku/>
              <w:wordWrap/>
              <w:overflowPunct/>
              <w:topLinePunct w:val="0"/>
              <w:autoSpaceDE/>
              <w:bidi w:val="0"/>
              <w:spacing w:line="560" w:lineRule="exact"/>
              <w:jc w:val="center"/>
              <w:textAlignment w:val="auto"/>
              <w:rPr>
                <w:rFonts w:ascii="Calibri" w:hAnsi="Calibri" w:eastAsia="仿宋_GB2312" w:cs="Calibri"/>
                <w:sz w:val="32"/>
                <w:szCs w:val="32"/>
                <w:lang w:bidi="ar-SA"/>
              </w:rPr>
            </w:pPr>
            <w:r>
              <w:rPr>
                <w:rFonts w:hint="eastAsia" w:ascii="仿宋_GB2312" w:eastAsia="仿宋_GB2312" w:cs="Calibri"/>
                <w:sz w:val="32"/>
                <w:szCs w:val="32"/>
                <w:lang w:bidi="ar-SA"/>
              </w:rPr>
              <w:t>名称</w:t>
            </w:r>
          </w:p>
        </w:tc>
        <w:tc>
          <w:tcPr>
            <w:tcW w:w="2148" w:type="dxa"/>
            <w:noWrap w:val="0"/>
            <w:vAlign w:val="center"/>
          </w:tcPr>
          <w:p w14:paraId="0C3EE15E">
            <w:pPr>
              <w:keepNext w:val="0"/>
              <w:keepLines w:val="0"/>
              <w:pageBreakBefore w:val="0"/>
              <w:widowControl w:val="0"/>
              <w:kinsoku/>
              <w:wordWrap/>
              <w:overflowPunct/>
              <w:topLinePunct w:val="0"/>
              <w:autoSpaceDE/>
              <w:bidi w:val="0"/>
              <w:spacing w:line="560" w:lineRule="exact"/>
              <w:jc w:val="center"/>
              <w:textAlignment w:val="auto"/>
              <w:rPr>
                <w:rFonts w:ascii="Calibri" w:hAnsi="Calibri" w:eastAsia="仿宋_GB2312" w:cs="Calibri"/>
                <w:sz w:val="32"/>
                <w:szCs w:val="32"/>
                <w:lang w:bidi="ar-SA"/>
              </w:rPr>
            </w:pPr>
            <w:r>
              <w:rPr>
                <w:rFonts w:hint="eastAsia" w:ascii="仿宋_GB2312" w:eastAsia="仿宋_GB2312" w:cs="Calibri"/>
                <w:sz w:val="32"/>
                <w:szCs w:val="32"/>
                <w:lang w:bidi="ar-SA"/>
              </w:rPr>
              <w:t>机构类型</w:t>
            </w:r>
          </w:p>
        </w:tc>
        <w:tc>
          <w:tcPr>
            <w:tcW w:w="2611" w:type="dxa"/>
            <w:noWrap w:val="0"/>
            <w:vAlign w:val="center"/>
          </w:tcPr>
          <w:p w14:paraId="0C903EC0">
            <w:pPr>
              <w:keepNext w:val="0"/>
              <w:keepLines w:val="0"/>
              <w:pageBreakBefore w:val="0"/>
              <w:widowControl w:val="0"/>
              <w:kinsoku/>
              <w:wordWrap/>
              <w:overflowPunct/>
              <w:topLinePunct w:val="0"/>
              <w:autoSpaceDE/>
              <w:bidi w:val="0"/>
              <w:spacing w:line="560" w:lineRule="exact"/>
              <w:jc w:val="center"/>
              <w:textAlignment w:val="auto"/>
              <w:rPr>
                <w:rFonts w:ascii="Calibri" w:hAnsi="Calibri" w:eastAsia="仿宋_GB2312" w:cs="Calibri"/>
                <w:sz w:val="32"/>
                <w:szCs w:val="32"/>
                <w:lang w:bidi="ar-SA"/>
              </w:rPr>
            </w:pPr>
            <w:r>
              <w:rPr>
                <w:rFonts w:hint="eastAsia" w:ascii="仿宋_GB2312" w:eastAsia="仿宋_GB2312" w:cs="Calibri"/>
                <w:sz w:val="32"/>
                <w:szCs w:val="32"/>
                <w:lang w:bidi="ar-SA"/>
              </w:rPr>
              <w:t>财政拨款形式</w:t>
            </w:r>
          </w:p>
        </w:tc>
      </w:tr>
      <w:tr w14:paraId="653769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01" w:type="dxa"/>
            <w:noWrap w:val="0"/>
            <w:vAlign w:val="center"/>
          </w:tcPr>
          <w:p w14:paraId="6764F0CC">
            <w:pPr>
              <w:keepNext w:val="0"/>
              <w:keepLines w:val="0"/>
              <w:pageBreakBefore w:val="0"/>
              <w:widowControl w:val="0"/>
              <w:kinsoku/>
              <w:wordWrap/>
              <w:overflowPunct/>
              <w:topLinePunct w:val="0"/>
              <w:autoSpaceDE/>
              <w:bidi w:val="0"/>
              <w:spacing w:line="560" w:lineRule="exact"/>
              <w:jc w:val="center"/>
              <w:textAlignment w:val="auto"/>
              <w:rPr>
                <w:rFonts w:ascii="Calibri" w:hAnsi="Calibri" w:eastAsia="仿宋_GB2312" w:cs="Calibri"/>
                <w:sz w:val="32"/>
                <w:szCs w:val="32"/>
                <w:lang w:bidi="ar-SA"/>
              </w:rPr>
            </w:pPr>
            <w:r>
              <w:rPr>
                <w:rFonts w:hint="eastAsia" w:ascii="仿宋_GB2312" w:eastAsia="仿宋_GB2312" w:cs="Calibri"/>
                <w:sz w:val="32"/>
                <w:szCs w:val="32"/>
                <w:lang w:bidi="ar-SA"/>
              </w:rPr>
              <w:t>元氏县</w:t>
            </w:r>
            <w:r>
              <w:rPr>
                <w:rFonts w:hint="eastAsia" w:ascii="仿宋_GB2312" w:eastAsia="仿宋_GB2312" w:cs="Calibri"/>
                <w:sz w:val="32"/>
                <w:szCs w:val="32"/>
                <w:lang w:eastAsia="zh-CN" w:bidi="ar-SA"/>
              </w:rPr>
              <w:t>数据和政务服务</w:t>
            </w:r>
            <w:r>
              <w:rPr>
                <w:rFonts w:hint="eastAsia" w:ascii="仿宋_GB2312" w:eastAsia="仿宋_GB2312" w:cs="Calibri"/>
                <w:sz w:val="32"/>
                <w:szCs w:val="32"/>
                <w:lang w:bidi="ar-SA"/>
              </w:rPr>
              <w:t>局</w:t>
            </w:r>
          </w:p>
        </w:tc>
        <w:tc>
          <w:tcPr>
            <w:tcW w:w="2148" w:type="dxa"/>
            <w:noWrap w:val="0"/>
            <w:vAlign w:val="center"/>
          </w:tcPr>
          <w:p w14:paraId="06BB2E63">
            <w:pPr>
              <w:keepNext w:val="0"/>
              <w:keepLines w:val="0"/>
              <w:pageBreakBefore w:val="0"/>
              <w:widowControl w:val="0"/>
              <w:kinsoku/>
              <w:wordWrap/>
              <w:overflowPunct/>
              <w:topLinePunct w:val="0"/>
              <w:autoSpaceDE/>
              <w:bidi w:val="0"/>
              <w:spacing w:line="560" w:lineRule="exact"/>
              <w:jc w:val="center"/>
              <w:textAlignment w:val="auto"/>
              <w:rPr>
                <w:rFonts w:ascii="Calibri" w:hAnsi="Calibri" w:eastAsia="仿宋_GB2312" w:cs="Calibri"/>
                <w:sz w:val="32"/>
                <w:szCs w:val="32"/>
                <w:lang w:bidi="ar-SA"/>
              </w:rPr>
            </w:pPr>
            <w:r>
              <w:rPr>
                <w:rFonts w:hint="eastAsia" w:ascii="仿宋_GB2312" w:eastAsia="仿宋_GB2312" w:cs="Calibri"/>
                <w:sz w:val="32"/>
                <w:szCs w:val="32"/>
                <w:lang w:bidi="ar-SA"/>
              </w:rPr>
              <w:t>机关</w:t>
            </w:r>
          </w:p>
        </w:tc>
        <w:tc>
          <w:tcPr>
            <w:tcW w:w="2611" w:type="dxa"/>
            <w:noWrap w:val="0"/>
            <w:vAlign w:val="center"/>
          </w:tcPr>
          <w:p w14:paraId="637ED742">
            <w:pPr>
              <w:keepNext w:val="0"/>
              <w:keepLines w:val="0"/>
              <w:pageBreakBefore w:val="0"/>
              <w:widowControl w:val="0"/>
              <w:kinsoku/>
              <w:wordWrap/>
              <w:overflowPunct/>
              <w:topLinePunct w:val="0"/>
              <w:autoSpaceDE/>
              <w:bidi w:val="0"/>
              <w:spacing w:line="560" w:lineRule="exact"/>
              <w:jc w:val="center"/>
              <w:textAlignment w:val="auto"/>
              <w:rPr>
                <w:rFonts w:ascii="Calibri" w:hAnsi="Calibri" w:eastAsia="仿宋_GB2312" w:cs="Calibri"/>
                <w:sz w:val="32"/>
                <w:szCs w:val="32"/>
                <w:lang w:bidi="ar-SA"/>
              </w:rPr>
            </w:pPr>
            <w:r>
              <w:rPr>
                <w:rFonts w:hint="eastAsia" w:ascii="仿宋_GB2312" w:eastAsia="仿宋_GB2312" w:cs="Calibri"/>
                <w:sz w:val="32"/>
                <w:szCs w:val="32"/>
                <w:lang w:bidi="ar-SA"/>
              </w:rPr>
              <w:t>全额拨款</w:t>
            </w:r>
          </w:p>
        </w:tc>
      </w:tr>
      <w:tr w14:paraId="508E3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01" w:type="dxa"/>
            <w:noWrap w:val="0"/>
            <w:vAlign w:val="center"/>
          </w:tcPr>
          <w:p w14:paraId="5D7246CE">
            <w:pPr>
              <w:keepNext w:val="0"/>
              <w:keepLines w:val="0"/>
              <w:pageBreakBefore w:val="0"/>
              <w:widowControl w:val="0"/>
              <w:kinsoku/>
              <w:wordWrap/>
              <w:overflowPunct/>
              <w:topLinePunct w:val="0"/>
              <w:autoSpaceDE/>
              <w:bidi w:val="0"/>
              <w:spacing w:line="560" w:lineRule="exact"/>
              <w:jc w:val="center"/>
              <w:textAlignment w:val="auto"/>
              <w:rPr>
                <w:rFonts w:ascii="Calibri" w:hAnsi="Calibri" w:eastAsia="仿宋_GB2312" w:cs="Calibri"/>
                <w:sz w:val="32"/>
                <w:szCs w:val="32"/>
                <w:lang w:bidi="ar-SA"/>
              </w:rPr>
            </w:pPr>
            <w:r>
              <w:rPr>
                <w:rFonts w:hint="eastAsia" w:ascii="仿宋_GB2312" w:eastAsia="仿宋_GB2312" w:cs="Calibri"/>
                <w:sz w:val="32"/>
                <w:szCs w:val="32"/>
                <w:lang w:bidi="ar-SA"/>
              </w:rPr>
              <w:t>元氏县行政审批服务中心</w:t>
            </w:r>
          </w:p>
        </w:tc>
        <w:tc>
          <w:tcPr>
            <w:tcW w:w="2148" w:type="dxa"/>
            <w:noWrap w:val="0"/>
            <w:vAlign w:val="center"/>
          </w:tcPr>
          <w:p w14:paraId="1BD01962">
            <w:pPr>
              <w:keepNext w:val="0"/>
              <w:keepLines w:val="0"/>
              <w:pageBreakBefore w:val="0"/>
              <w:widowControl w:val="0"/>
              <w:kinsoku/>
              <w:wordWrap/>
              <w:overflowPunct/>
              <w:topLinePunct w:val="0"/>
              <w:autoSpaceDE/>
              <w:bidi w:val="0"/>
              <w:spacing w:line="560" w:lineRule="exact"/>
              <w:jc w:val="center"/>
              <w:textAlignment w:val="auto"/>
              <w:rPr>
                <w:rFonts w:ascii="Calibri" w:hAnsi="Calibri" w:eastAsia="仿宋_GB2312" w:cs="Calibri"/>
                <w:sz w:val="32"/>
                <w:szCs w:val="32"/>
                <w:lang w:bidi="ar-SA"/>
              </w:rPr>
            </w:pPr>
            <w:r>
              <w:rPr>
                <w:rFonts w:hint="eastAsia" w:ascii="仿宋_GB2312" w:eastAsia="仿宋_GB2312" w:cs="Calibri"/>
                <w:sz w:val="32"/>
                <w:szCs w:val="32"/>
                <w:lang w:bidi="ar-SA"/>
              </w:rPr>
              <w:t>事业</w:t>
            </w:r>
          </w:p>
        </w:tc>
        <w:tc>
          <w:tcPr>
            <w:tcW w:w="2611" w:type="dxa"/>
            <w:noWrap w:val="0"/>
            <w:vAlign w:val="center"/>
          </w:tcPr>
          <w:p w14:paraId="24A9150E">
            <w:pPr>
              <w:keepNext w:val="0"/>
              <w:keepLines w:val="0"/>
              <w:pageBreakBefore w:val="0"/>
              <w:widowControl w:val="0"/>
              <w:kinsoku/>
              <w:wordWrap/>
              <w:overflowPunct/>
              <w:topLinePunct w:val="0"/>
              <w:autoSpaceDE/>
              <w:bidi w:val="0"/>
              <w:spacing w:line="560" w:lineRule="exact"/>
              <w:jc w:val="center"/>
              <w:textAlignment w:val="auto"/>
              <w:rPr>
                <w:rFonts w:ascii="Calibri" w:hAnsi="Calibri" w:eastAsia="仿宋_GB2312" w:cs="Calibri"/>
                <w:sz w:val="32"/>
                <w:szCs w:val="32"/>
                <w:lang w:bidi="ar-SA"/>
              </w:rPr>
            </w:pPr>
            <w:r>
              <w:rPr>
                <w:rFonts w:hint="eastAsia" w:ascii="仿宋_GB2312" w:eastAsia="仿宋_GB2312" w:cs="Calibri"/>
                <w:sz w:val="32"/>
                <w:szCs w:val="32"/>
                <w:lang w:bidi="ar-SA"/>
              </w:rPr>
              <w:t>全额拨款</w:t>
            </w:r>
          </w:p>
        </w:tc>
      </w:tr>
      <w:tr w14:paraId="329E3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901" w:type="dxa"/>
            <w:noWrap w:val="0"/>
            <w:vAlign w:val="center"/>
          </w:tcPr>
          <w:p w14:paraId="64B9338E">
            <w:pPr>
              <w:keepNext w:val="0"/>
              <w:keepLines w:val="0"/>
              <w:pageBreakBefore w:val="0"/>
              <w:widowControl w:val="0"/>
              <w:kinsoku/>
              <w:wordWrap/>
              <w:overflowPunct/>
              <w:topLinePunct w:val="0"/>
              <w:autoSpaceDE/>
              <w:bidi w:val="0"/>
              <w:spacing w:line="560" w:lineRule="exact"/>
              <w:jc w:val="center"/>
              <w:textAlignment w:val="auto"/>
              <w:rPr>
                <w:rFonts w:hint="default" w:ascii="仿宋_GB2312" w:eastAsia="仿宋_GB2312" w:cs="Calibri"/>
                <w:sz w:val="32"/>
                <w:szCs w:val="32"/>
                <w:lang w:val="en-US" w:eastAsia="zh-CN" w:bidi="ar-SA"/>
              </w:rPr>
            </w:pPr>
            <w:r>
              <w:rPr>
                <w:rFonts w:hint="eastAsia" w:ascii="仿宋_GB2312" w:eastAsia="仿宋_GB2312" w:cs="Calibri"/>
                <w:sz w:val="32"/>
                <w:szCs w:val="32"/>
                <w:lang w:val="en-US" w:eastAsia="zh-CN" w:bidi="ar-SA"/>
              </w:rPr>
              <w:t>元氏县智慧城市指挥中心</w:t>
            </w:r>
          </w:p>
        </w:tc>
        <w:tc>
          <w:tcPr>
            <w:tcW w:w="2148" w:type="dxa"/>
            <w:noWrap w:val="0"/>
            <w:vAlign w:val="center"/>
          </w:tcPr>
          <w:p w14:paraId="2CD925D1">
            <w:pPr>
              <w:keepNext w:val="0"/>
              <w:keepLines w:val="0"/>
              <w:pageBreakBefore w:val="0"/>
              <w:widowControl w:val="0"/>
              <w:kinsoku/>
              <w:wordWrap/>
              <w:overflowPunct/>
              <w:topLinePunct w:val="0"/>
              <w:autoSpaceDE/>
              <w:bidi w:val="0"/>
              <w:spacing w:line="560" w:lineRule="exact"/>
              <w:jc w:val="center"/>
              <w:textAlignment w:val="auto"/>
              <w:rPr>
                <w:rFonts w:hint="eastAsia" w:ascii="仿宋_GB2312" w:eastAsia="仿宋_GB2312" w:cs="Calibri"/>
                <w:sz w:val="32"/>
                <w:szCs w:val="32"/>
                <w:lang w:val="en-US" w:eastAsia="zh-CN" w:bidi="ar-SA"/>
              </w:rPr>
            </w:pPr>
            <w:r>
              <w:rPr>
                <w:rFonts w:hint="eastAsia" w:ascii="仿宋_GB2312" w:eastAsia="仿宋_GB2312" w:cs="Calibri"/>
                <w:sz w:val="32"/>
                <w:szCs w:val="32"/>
                <w:lang w:val="en-US" w:eastAsia="zh-CN" w:bidi="ar-SA"/>
              </w:rPr>
              <w:t>事业</w:t>
            </w:r>
          </w:p>
        </w:tc>
        <w:tc>
          <w:tcPr>
            <w:tcW w:w="2611" w:type="dxa"/>
            <w:noWrap w:val="0"/>
            <w:vAlign w:val="center"/>
          </w:tcPr>
          <w:p w14:paraId="688CAD7E">
            <w:pPr>
              <w:keepNext w:val="0"/>
              <w:keepLines w:val="0"/>
              <w:pageBreakBefore w:val="0"/>
              <w:widowControl w:val="0"/>
              <w:kinsoku/>
              <w:wordWrap/>
              <w:overflowPunct/>
              <w:topLinePunct w:val="0"/>
              <w:autoSpaceDE/>
              <w:bidi w:val="0"/>
              <w:spacing w:line="560" w:lineRule="exact"/>
              <w:jc w:val="center"/>
              <w:textAlignment w:val="auto"/>
              <w:rPr>
                <w:rFonts w:hint="default" w:ascii="仿宋_GB2312" w:eastAsia="仿宋_GB2312" w:cs="Calibri"/>
                <w:sz w:val="32"/>
                <w:szCs w:val="32"/>
                <w:lang w:val="en-US" w:eastAsia="zh-CN" w:bidi="ar-SA"/>
              </w:rPr>
            </w:pPr>
            <w:r>
              <w:rPr>
                <w:rFonts w:hint="eastAsia" w:ascii="仿宋_GB2312" w:eastAsia="仿宋_GB2312" w:cs="Calibri"/>
                <w:sz w:val="32"/>
                <w:szCs w:val="32"/>
                <w:lang w:val="en-US" w:eastAsia="zh-CN" w:bidi="ar-SA"/>
              </w:rPr>
              <w:t>全额拨款</w:t>
            </w:r>
          </w:p>
        </w:tc>
      </w:tr>
    </w:tbl>
    <w:p w14:paraId="38285CCA">
      <w:pPr>
        <w:keepNext w:val="0"/>
        <w:keepLines w:val="0"/>
        <w:pageBreakBefore w:val="0"/>
        <w:widowControl w:val="0"/>
        <w:kinsoku/>
        <w:wordWrap/>
        <w:overflowPunct/>
        <w:topLinePunct w:val="0"/>
        <w:autoSpaceDE/>
        <w:bidi w:val="0"/>
        <w:snapToGrid w:val="0"/>
        <w:spacing w:line="560" w:lineRule="exact"/>
        <w:ind w:firstLine="640" w:firstLineChars="200"/>
        <w:textAlignment w:val="auto"/>
        <w:rPr>
          <w:rFonts w:hint="eastAsia" w:ascii="仿宋_GB2312" w:hAnsi="仿宋" w:eastAsia="仿宋_GB2312"/>
          <w:sz w:val="32"/>
          <w:szCs w:val="32"/>
          <w:highlight w:val="none"/>
        </w:rPr>
      </w:pPr>
    </w:p>
    <w:p w14:paraId="4DD4E040">
      <w:pPr>
        <w:keepNext w:val="0"/>
        <w:keepLines w:val="0"/>
        <w:pageBreakBefore w:val="0"/>
        <w:widowControl w:val="0"/>
        <w:numPr>
          <w:ilvl w:val="0"/>
          <w:numId w:val="1"/>
        </w:numPr>
        <w:kinsoku/>
        <w:wordWrap/>
        <w:overflowPunct/>
        <w:topLinePunct w:val="0"/>
        <w:autoSpaceDE/>
        <w:bidi w:val="0"/>
        <w:snapToGrid w:val="0"/>
        <w:spacing w:line="560" w:lineRule="exact"/>
        <w:ind w:firstLine="640" w:firstLineChars="200"/>
        <w:textAlignment w:val="auto"/>
        <w:rPr>
          <w:rFonts w:hint="eastAsia" w:ascii="仿宋_GB2312" w:hAnsi="仿宋" w:eastAsia="仿宋_GB2312"/>
          <w:sz w:val="32"/>
          <w:szCs w:val="32"/>
          <w:highlight w:val="none"/>
        </w:rPr>
      </w:pPr>
      <w:r>
        <w:rPr>
          <w:rFonts w:hint="eastAsia" w:ascii="仿宋_GB2312" w:hAnsi="仿宋" w:eastAsia="仿宋_GB2312"/>
          <w:sz w:val="32"/>
          <w:szCs w:val="32"/>
          <w:highlight w:val="none"/>
        </w:rPr>
        <w:t>人员情况，包括当年变动情况及原因。</w:t>
      </w:r>
    </w:p>
    <w:p w14:paraId="0AFE311C">
      <w:pPr>
        <w:keepNext w:val="0"/>
        <w:keepLines w:val="0"/>
        <w:pageBreakBefore w:val="0"/>
        <w:widowControl w:val="0"/>
        <w:kinsoku/>
        <w:wordWrap/>
        <w:overflowPunct/>
        <w:topLinePunct w:val="0"/>
        <w:autoSpaceDE/>
        <w:bidi w:val="0"/>
        <w:spacing w:line="560" w:lineRule="exact"/>
        <w:ind w:firstLine="640" w:firstLineChars="200"/>
        <w:textAlignment w:val="auto"/>
        <w:rPr>
          <w:rFonts w:hint="eastAsia" w:ascii="仿宋_GB2312" w:hAnsi="仿宋" w:eastAsia="仿宋_GB2312"/>
          <w:sz w:val="32"/>
          <w:szCs w:val="32"/>
          <w:highlight w:val="none"/>
        </w:rPr>
      </w:pPr>
      <w:r>
        <w:rPr>
          <w:rFonts w:hint="eastAsia" w:ascii="仿宋_GB2312" w:eastAsia="仿宋_GB2312" w:cs="仿宋_GB2312"/>
          <w:sz w:val="32"/>
          <w:szCs w:val="32"/>
          <w:lang w:bidi="ar"/>
        </w:rPr>
        <w:t>截止202</w:t>
      </w:r>
      <w:r>
        <w:rPr>
          <w:rFonts w:hint="eastAsia" w:ascii="仿宋_GB2312" w:eastAsia="仿宋_GB2312" w:cs="仿宋_GB2312"/>
          <w:sz w:val="32"/>
          <w:szCs w:val="32"/>
          <w:lang w:val="en-US" w:eastAsia="zh-CN" w:bidi="ar"/>
        </w:rPr>
        <w:t>4</w:t>
      </w:r>
      <w:r>
        <w:rPr>
          <w:rFonts w:hint="eastAsia" w:ascii="仿宋_GB2312" w:eastAsia="仿宋_GB2312" w:cs="仿宋_GB2312"/>
          <w:sz w:val="32"/>
          <w:szCs w:val="32"/>
          <w:lang w:bidi="ar"/>
        </w:rPr>
        <w:t>年12月31日,</w:t>
      </w:r>
      <w:r>
        <w:rPr>
          <w:rFonts w:hint="eastAsia" w:ascii="仿宋_GB2312" w:eastAsia="仿宋_GB2312" w:cs="仿宋_GB2312"/>
          <w:sz w:val="32"/>
          <w:szCs w:val="32"/>
          <w:lang w:val="en-US" w:eastAsia="zh-CN" w:bidi="ar"/>
        </w:rPr>
        <w:t>增加下属</w:t>
      </w:r>
      <w:r>
        <w:rPr>
          <w:rFonts w:hint="eastAsia" w:ascii="仿宋_GB2312" w:eastAsia="仿宋_GB2312" w:cs="Calibri"/>
          <w:sz w:val="32"/>
          <w:szCs w:val="32"/>
          <w:lang w:val="en-US" w:eastAsia="zh-CN" w:bidi="ar-SA"/>
        </w:rPr>
        <w:t>元氏县智慧城市指挥中心；</w:t>
      </w:r>
      <w:r>
        <w:rPr>
          <w:rFonts w:hint="eastAsia" w:ascii="仿宋_GB2312" w:eastAsia="仿宋_GB2312" w:cs="仿宋_GB2312"/>
          <w:sz w:val="32"/>
          <w:szCs w:val="32"/>
          <w:lang w:bidi="ar"/>
        </w:rPr>
        <w:t>财政拨款编制23人</w:t>
      </w:r>
      <w:r>
        <w:rPr>
          <w:rFonts w:hint="eastAsia" w:ascii="仿宋_GB2312" w:eastAsia="仿宋_GB2312" w:cs="仿宋_GB2312"/>
          <w:sz w:val="32"/>
          <w:szCs w:val="32"/>
          <w:lang w:eastAsia="zh-CN" w:bidi="ar"/>
        </w:rPr>
        <w:t>，</w:t>
      </w:r>
      <w:r>
        <w:rPr>
          <w:rFonts w:hint="eastAsia" w:ascii="仿宋_GB2312" w:eastAsia="仿宋_GB2312" w:cs="仿宋_GB2312"/>
          <w:sz w:val="32"/>
          <w:szCs w:val="32"/>
          <w:lang w:val="en-US" w:eastAsia="zh-CN" w:bidi="ar"/>
        </w:rPr>
        <w:t>事业编12人</w:t>
      </w:r>
      <w:r>
        <w:rPr>
          <w:rFonts w:hint="eastAsia" w:ascii="仿宋_GB2312" w:eastAsia="仿宋_GB2312" w:cs="仿宋_GB2312"/>
          <w:sz w:val="32"/>
          <w:szCs w:val="32"/>
          <w:lang w:bidi="ar"/>
        </w:rPr>
        <w:t>。年末</w:t>
      </w:r>
      <w:r>
        <w:rPr>
          <w:rFonts w:hint="eastAsia" w:ascii="仿宋_GB2312" w:eastAsia="仿宋_GB2312" w:cs="仿宋_GB2312"/>
          <w:sz w:val="32"/>
          <w:szCs w:val="32"/>
          <w:lang w:val="en-US" w:eastAsia="zh-CN" w:bidi="ar"/>
        </w:rPr>
        <w:t>行政</w:t>
      </w:r>
      <w:r>
        <w:rPr>
          <w:rFonts w:hint="eastAsia" w:ascii="仿宋_GB2312" w:eastAsia="仿宋_GB2312" w:cs="仿宋_GB2312"/>
          <w:sz w:val="32"/>
          <w:szCs w:val="32"/>
          <w:lang w:bidi="ar"/>
        </w:rPr>
        <w:t>在职实有</w:t>
      </w:r>
      <w:r>
        <w:rPr>
          <w:rFonts w:hint="eastAsia" w:ascii="仿宋_GB2312" w:eastAsia="仿宋_GB2312" w:cs="仿宋_GB2312"/>
          <w:sz w:val="32"/>
          <w:szCs w:val="32"/>
          <w:lang w:val="en-US" w:eastAsia="zh-CN" w:bidi="ar"/>
        </w:rPr>
        <w:t>14</w:t>
      </w:r>
      <w:r>
        <w:rPr>
          <w:rFonts w:hint="eastAsia" w:ascii="仿宋_GB2312" w:eastAsia="仿宋_GB2312" w:cs="仿宋_GB2312"/>
          <w:sz w:val="32"/>
          <w:szCs w:val="32"/>
          <w:lang w:bidi="ar"/>
        </w:rPr>
        <w:t>人，</w:t>
      </w:r>
      <w:r>
        <w:rPr>
          <w:rFonts w:hint="eastAsia" w:ascii="仿宋_GB2312" w:eastAsia="仿宋_GB2312" w:cs="仿宋_GB2312"/>
          <w:sz w:val="32"/>
          <w:szCs w:val="32"/>
          <w:lang w:val="en-US" w:eastAsia="zh-CN" w:bidi="ar"/>
        </w:rPr>
        <w:t>事业在职实有7人。</w:t>
      </w:r>
      <w:r>
        <w:rPr>
          <w:rFonts w:hint="eastAsia" w:ascii="仿宋_GB2312" w:eastAsia="仿宋_GB2312" w:cs="仿宋_GB2312"/>
          <w:sz w:val="32"/>
          <w:szCs w:val="32"/>
          <w:lang w:bidi="ar"/>
        </w:rPr>
        <w:t>与上年相比，</w:t>
      </w:r>
      <w:r>
        <w:rPr>
          <w:rFonts w:hint="eastAsia" w:ascii="仿宋_GB2312" w:eastAsia="仿宋_GB2312" w:cs="仿宋_GB2312"/>
          <w:sz w:val="32"/>
          <w:szCs w:val="32"/>
          <w:lang w:val="en-US" w:eastAsia="zh-CN" w:bidi="ar"/>
        </w:rPr>
        <w:t>行政减少1人，事业减少1人</w:t>
      </w:r>
      <w:r>
        <w:rPr>
          <w:rFonts w:hint="eastAsia" w:ascii="仿宋_GB2312" w:eastAsia="仿宋_GB2312" w:cs="仿宋_GB2312"/>
          <w:sz w:val="32"/>
          <w:szCs w:val="32"/>
          <w:lang w:bidi="ar"/>
        </w:rPr>
        <w:t>。</w:t>
      </w:r>
    </w:p>
    <w:p w14:paraId="652DE4C1">
      <w:pPr>
        <w:keepNext w:val="0"/>
        <w:keepLines w:val="0"/>
        <w:pageBreakBefore w:val="0"/>
        <w:widowControl w:val="0"/>
        <w:kinsoku/>
        <w:wordWrap/>
        <w:overflowPunct/>
        <w:topLinePunct w:val="0"/>
        <w:autoSpaceDE/>
        <w:bidi w:val="0"/>
        <w:adjustRightInd w:val="0"/>
        <w:snapToGrid w:val="0"/>
        <w:spacing w:line="560" w:lineRule="exact"/>
        <w:ind w:firstLine="643" w:firstLineChars="200"/>
        <w:textAlignment w:val="auto"/>
        <w:rPr>
          <w:rFonts w:hint="eastAsia" w:ascii="楷体_GB2312" w:eastAsia="楷体_GB2312" w:cs="楷体_GB2312"/>
          <w:b/>
          <w:bCs/>
          <w:sz w:val="32"/>
          <w:szCs w:val="32"/>
          <w:lang w:bidi="ar-SA"/>
        </w:rPr>
      </w:pPr>
      <w:r>
        <w:rPr>
          <w:rFonts w:hint="eastAsia" w:ascii="楷体_GB2312" w:eastAsia="楷体_GB2312" w:cs="楷体_GB2312"/>
          <w:b/>
          <w:bCs/>
          <w:sz w:val="32"/>
          <w:szCs w:val="32"/>
          <w:lang w:bidi="ar-SA"/>
        </w:rPr>
        <w:t>（二）部门收支预决算情况</w:t>
      </w:r>
    </w:p>
    <w:p w14:paraId="46BAE3B6">
      <w:pPr>
        <w:keepNext w:val="0"/>
        <w:keepLines w:val="0"/>
        <w:pageBreakBefore w:val="0"/>
        <w:widowControl w:val="0"/>
        <w:kinsoku/>
        <w:wordWrap/>
        <w:overflowPunct/>
        <w:topLinePunct w:val="0"/>
        <w:autoSpaceDE/>
        <w:bidi w:val="0"/>
        <w:snapToGrid w:val="0"/>
        <w:spacing w:line="560" w:lineRule="exact"/>
        <w:ind w:firstLine="640" w:firstLineChars="200"/>
        <w:textAlignment w:val="auto"/>
        <w:rPr>
          <w:rFonts w:hint="eastAsia" w:ascii="仿宋_GB2312" w:hAnsi="仿宋" w:eastAsia="仿宋_GB2312"/>
          <w:sz w:val="32"/>
          <w:szCs w:val="32"/>
          <w:highlight w:val="none"/>
        </w:rPr>
      </w:pPr>
      <w:r>
        <w:rPr>
          <w:rFonts w:hint="eastAsia" w:ascii="仿宋_GB2312" w:eastAsia="仿宋_GB2312"/>
          <w:sz w:val="32"/>
          <w:szCs w:val="32"/>
        </w:rPr>
        <w:t>202</w:t>
      </w:r>
      <w:r>
        <w:rPr>
          <w:rFonts w:hint="eastAsia" w:ascii="仿宋_GB2312" w:eastAsia="仿宋_GB2312"/>
          <w:sz w:val="32"/>
          <w:szCs w:val="32"/>
          <w:lang w:val="en-US" w:eastAsia="zh-CN"/>
        </w:rPr>
        <w:t>4</w:t>
      </w:r>
      <w:r>
        <w:rPr>
          <w:rFonts w:hint="eastAsia" w:ascii="仿宋_GB2312" w:eastAsia="仿宋_GB2312"/>
          <w:sz w:val="32"/>
          <w:szCs w:val="32"/>
        </w:rPr>
        <w:t>年年初预算安排收入</w:t>
      </w:r>
      <w:r>
        <w:rPr>
          <w:rFonts w:hint="eastAsia" w:ascii="仿宋_GB2312" w:eastAsia="仿宋_GB2312"/>
          <w:sz w:val="32"/>
          <w:szCs w:val="32"/>
          <w:lang w:val="en-US" w:eastAsia="zh-CN"/>
        </w:rPr>
        <w:t>764.19</w:t>
      </w:r>
      <w:r>
        <w:rPr>
          <w:rFonts w:hint="eastAsia" w:ascii="仿宋_GB2312" w:eastAsia="仿宋_GB2312"/>
          <w:sz w:val="32"/>
          <w:szCs w:val="32"/>
        </w:rPr>
        <w:t>万元，预算支出</w:t>
      </w:r>
      <w:r>
        <w:rPr>
          <w:rFonts w:hint="eastAsia" w:ascii="仿宋_GB2312" w:eastAsia="仿宋_GB2312"/>
          <w:sz w:val="32"/>
          <w:szCs w:val="32"/>
          <w:lang w:val="en-US" w:eastAsia="zh-CN"/>
        </w:rPr>
        <w:t>764.19</w:t>
      </w:r>
      <w:r>
        <w:rPr>
          <w:rFonts w:hint="eastAsia" w:ascii="仿宋_GB2312" w:eastAsia="仿宋_GB2312"/>
          <w:sz w:val="32"/>
          <w:szCs w:val="32"/>
        </w:rPr>
        <w:t>万元。年度执行中</w:t>
      </w:r>
      <w:r>
        <w:rPr>
          <w:rFonts w:hint="eastAsia" w:ascii="仿宋_GB2312" w:eastAsia="仿宋_GB2312"/>
          <w:sz w:val="32"/>
          <w:szCs w:val="32"/>
          <w:lang w:val="en-US" w:eastAsia="zh-CN"/>
        </w:rPr>
        <w:t>全年</w:t>
      </w:r>
      <w:r>
        <w:rPr>
          <w:rFonts w:hint="eastAsia" w:ascii="仿宋_GB2312" w:eastAsia="仿宋_GB2312"/>
          <w:sz w:val="32"/>
          <w:szCs w:val="32"/>
        </w:rPr>
        <w:t>预算收入为</w:t>
      </w:r>
      <w:r>
        <w:rPr>
          <w:rFonts w:hint="eastAsia" w:ascii="仿宋_GB2312" w:eastAsia="仿宋_GB2312"/>
          <w:sz w:val="32"/>
          <w:szCs w:val="32"/>
          <w:lang w:val="en-US" w:eastAsia="zh-CN"/>
        </w:rPr>
        <w:t>875.31</w:t>
      </w:r>
      <w:r>
        <w:rPr>
          <w:rFonts w:hint="eastAsia" w:ascii="仿宋_GB2312" w:eastAsia="仿宋_GB2312"/>
          <w:sz w:val="32"/>
          <w:szCs w:val="32"/>
        </w:rPr>
        <w:t>万元，</w:t>
      </w:r>
      <w:r>
        <w:rPr>
          <w:rFonts w:hint="eastAsia" w:ascii="仿宋_GB2312" w:eastAsia="仿宋_GB2312"/>
          <w:sz w:val="32"/>
          <w:szCs w:val="32"/>
          <w:lang w:val="en-US" w:eastAsia="zh-CN"/>
        </w:rPr>
        <w:t>全年</w:t>
      </w:r>
      <w:r>
        <w:rPr>
          <w:rFonts w:hint="eastAsia" w:ascii="仿宋_GB2312" w:eastAsia="仿宋_GB2312"/>
          <w:sz w:val="32"/>
          <w:szCs w:val="32"/>
        </w:rPr>
        <w:t>预算支出为</w:t>
      </w:r>
      <w:r>
        <w:rPr>
          <w:rFonts w:hint="eastAsia" w:ascii="仿宋_GB2312" w:eastAsia="仿宋_GB2312"/>
          <w:sz w:val="32"/>
          <w:szCs w:val="32"/>
          <w:lang w:val="en-US" w:eastAsia="zh-CN"/>
        </w:rPr>
        <w:t>875.31</w:t>
      </w:r>
      <w:r>
        <w:rPr>
          <w:rFonts w:hint="eastAsia" w:ascii="仿宋_GB2312" w:eastAsia="仿宋_GB2312"/>
          <w:sz w:val="32"/>
          <w:szCs w:val="32"/>
        </w:rPr>
        <w:t>万元，主要原因是</w:t>
      </w:r>
      <w:r>
        <w:rPr>
          <w:rFonts w:hint="eastAsia" w:ascii="仿宋_GB2312" w:eastAsia="仿宋_GB2312"/>
          <w:sz w:val="32"/>
          <w:szCs w:val="32"/>
          <w:lang w:val="en-US" w:eastAsia="zh-CN"/>
        </w:rPr>
        <w:t>2024年度机构改革，新增智慧城市</w:t>
      </w:r>
      <w:r>
        <w:rPr>
          <w:rFonts w:hint="eastAsia" w:ascii="仿宋_GB2312" w:eastAsia="仿宋_GB2312" w:cs="DengXian-Regular"/>
          <w:sz w:val="32"/>
          <w:szCs w:val="32"/>
          <w:lang w:val="en-US" w:eastAsia="zh-CN" w:bidi="ar-SA"/>
        </w:rPr>
        <w:t>指挥中心</w:t>
      </w:r>
      <w:r>
        <w:rPr>
          <w:rFonts w:hint="eastAsia" w:ascii="仿宋_GB2312" w:eastAsia="仿宋_GB2312"/>
          <w:sz w:val="32"/>
          <w:szCs w:val="32"/>
          <w:lang w:val="en-US" w:eastAsia="zh-CN"/>
        </w:rPr>
        <w:t>，各项经费增加</w:t>
      </w:r>
      <w:r>
        <w:rPr>
          <w:rFonts w:hint="eastAsia" w:ascii="仿宋_GB2312" w:eastAsia="仿宋_GB2312"/>
          <w:sz w:val="32"/>
          <w:szCs w:val="32"/>
        </w:rPr>
        <w:t>。</w:t>
      </w:r>
    </w:p>
    <w:p w14:paraId="1198E739">
      <w:pPr>
        <w:keepNext w:val="0"/>
        <w:keepLines w:val="0"/>
        <w:pageBreakBefore w:val="0"/>
        <w:widowControl w:val="0"/>
        <w:kinsoku/>
        <w:wordWrap/>
        <w:overflowPunct/>
        <w:topLinePunct w:val="0"/>
        <w:autoSpaceDE/>
        <w:bidi w:val="0"/>
        <w:adjustRightInd w:val="0"/>
        <w:snapToGrid w:val="0"/>
        <w:spacing w:line="560" w:lineRule="exact"/>
        <w:ind w:firstLine="643" w:firstLineChars="200"/>
        <w:textAlignment w:val="auto"/>
        <w:rPr>
          <w:rFonts w:hint="eastAsia" w:ascii="楷体_GB2312" w:eastAsia="楷体_GB2312" w:cs="楷体_GB2312"/>
          <w:b/>
          <w:bCs/>
          <w:sz w:val="32"/>
          <w:szCs w:val="32"/>
          <w:lang w:bidi="ar-SA"/>
        </w:rPr>
      </w:pPr>
      <w:r>
        <w:rPr>
          <w:rFonts w:hint="eastAsia" w:ascii="楷体_GB2312" w:eastAsia="楷体_GB2312" w:cs="楷体_GB2312"/>
          <w:b/>
          <w:bCs/>
          <w:sz w:val="32"/>
          <w:szCs w:val="32"/>
          <w:lang w:bidi="ar-SA"/>
        </w:rPr>
        <w:t>（三）部门整体支出绩效目标、指标</w:t>
      </w:r>
    </w:p>
    <w:p w14:paraId="63F33D91">
      <w:pPr>
        <w:keepNext w:val="0"/>
        <w:keepLines w:val="0"/>
        <w:pageBreakBefore w:val="0"/>
        <w:widowControl w:val="0"/>
        <w:kinsoku/>
        <w:wordWrap/>
        <w:overflowPunct/>
        <w:topLinePunct w:val="0"/>
        <w:autoSpaceDE/>
        <w:bidi w:val="0"/>
        <w:adjustRightInd w:val="0"/>
        <w:snapToGrid w:val="0"/>
        <w:spacing w:line="560" w:lineRule="exact"/>
        <w:ind w:firstLine="640" w:firstLineChars="200"/>
        <w:textAlignment w:val="auto"/>
        <w:rPr>
          <w:rFonts w:hint="eastAsia" w:ascii="仿宋_GB2312" w:eastAsia="仿宋_GB2312" w:cs="DengXian-Regular"/>
          <w:sz w:val="32"/>
          <w:szCs w:val="32"/>
          <w:lang w:bidi="ar-SA"/>
        </w:rPr>
      </w:pPr>
      <w:r>
        <w:rPr>
          <w:rFonts w:hint="eastAsia" w:ascii="仿宋_GB2312" w:eastAsia="仿宋_GB2312" w:cs="DengXian-Regular"/>
          <w:sz w:val="32"/>
          <w:szCs w:val="32"/>
          <w:lang w:bidi="ar-SA"/>
        </w:rPr>
        <w:t>坚持以习近平新时代中国特色社会主义思想为指导，在县委、县政府的坚强领导下，元氏县</w:t>
      </w:r>
      <w:r>
        <w:rPr>
          <w:rFonts w:hint="eastAsia" w:ascii="仿宋_GB2312" w:eastAsia="仿宋_GB2312" w:cs="DengXian-Regular"/>
          <w:sz w:val="32"/>
          <w:szCs w:val="32"/>
          <w:lang w:eastAsia="zh-CN" w:bidi="ar-SA"/>
        </w:rPr>
        <w:t>数据和政务服务</w:t>
      </w:r>
      <w:r>
        <w:rPr>
          <w:rFonts w:hint="eastAsia" w:ascii="仿宋_GB2312" w:eastAsia="仿宋_GB2312" w:cs="DengXian-Regular"/>
          <w:sz w:val="32"/>
          <w:szCs w:val="32"/>
          <w:lang w:bidi="ar-SA"/>
        </w:rPr>
        <w:t>局继续按照“创新突破、激扬奋进”的工作总基调，秉承“一切问题都有解”的工作思路，聚焦便民利企的新举措、新方法，打造“办事效率高、服务质量优”的政务服务新环境，不断增强企业和群众的获得感、幸福感，为持续优化营商环境贡献审批力量。</w:t>
      </w:r>
    </w:p>
    <w:p w14:paraId="275DDBE2">
      <w:pPr>
        <w:keepNext w:val="0"/>
        <w:keepLines w:val="0"/>
        <w:pageBreakBefore w:val="0"/>
        <w:widowControl w:val="0"/>
        <w:kinsoku/>
        <w:wordWrap/>
        <w:overflowPunct/>
        <w:topLinePunct w:val="0"/>
        <w:autoSpaceDE/>
        <w:bidi w:val="0"/>
        <w:adjustRightInd w:val="0"/>
        <w:snapToGrid w:val="0"/>
        <w:spacing w:line="560" w:lineRule="exact"/>
        <w:ind w:firstLine="640" w:firstLineChars="200"/>
        <w:textAlignment w:val="auto"/>
        <w:rPr>
          <w:rFonts w:hint="eastAsia" w:ascii="黑体" w:eastAsia="黑体"/>
          <w:sz w:val="32"/>
          <w:szCs w:val="32"/>
        </w:rPr>
      </w:pPr>
      <w:r>
        <w:rPr>
          <w:rFonts w:hint="eastAsia" w:ascii="黑体" w:eastAsia="黑体"/>
          <w:sz w:val="32"/>
          <w:szCs w:val="32"/>
        </w:rPr>
        <w:t>二、自评工作开展情况</w:t>
      </w:r>
    </w:p>
    <w:p w14:paraId="2E4073C1">
      <w:pPr>
        <w:keepNext w:val="0"/>
        <w:keepLines w:val="0"/>
        <w:pageBreakBefore w:val="0"/>
        <w:widowControl w:val="0"/>
        <w:kinsoku/>
        <w:wordWrap/>
        <w:overflowPunct/>
        <w:topLinePunct w:val="0"/>
        <w:autoSpaceDE/>
        <w:bidi w:val="0"/>
        <w:spacing w:line="560" w:lineRule="exact"/>
        <w:ind w:firstLine="630" w:firstLineChars="196"/>
        <w:textAlignment w:val="auto"/>
        <w:rPr>
          <w:rFonts w:hint="eastAsia" w:ascii="楷体_GB2312" w:eastAsia="楷体_GB2312" w:cs="楷体_GB2312"/>
          <w:sz w:val="32"/>
          <w:szCs w:val="32"/>
          <w:lang w:bidi="ar-SA"/>
        </w:rPr>
      </w:pPr>
      <w:r>
        <w:rPr>
          <w:rFonts w:hint="eastAsia" w:ascii="楷体_GB2312" w:eastAsia="楷体_GB2312" w:cs="楷体_GB2312"/>
          <w:b/>
          <w:bCs/>
          <w:sz w:val="32"/>
          <w:szCs w:val="32"/>
          <w:lang w:bidi="ar-SA"/>
        </w:rPr>
        <w:t>（一）自评的组织工作</w:t>
      </w:r>
    </w:p>
    <w:p w14:paraId="4D19967E">
      <w:pPr>
        <w:keepNext w:val="0"/>
        <w:keepLines w:val="0"/>
        <w:pageBreakBefore w:val="0"/>
        <w:widowControl w:val="0"/>
        <w:kinsoku/>
        <w:wordWrap/>
        <w:overflowPunct/>
        <w:topLinePunct w:val="0"/>
        <w:autoSpaceDE/>
        <w:bidi w:val="0"/>
        <w:spacing w:line="560" w:lineRule="exact"/>
        <w:ind w:firstLine="633" w:firstLineChars="198"/>
        <w:textAlignment w:val="auto"/>
        <w:rPr>
          <w:rFonts w:hint="eastAsia" w:ascii="仿宋_GB2312" w:eastAsia="仿宋_GB2312" w:cs="宋体"/>
          <w:bCs/>
          <w:sz w:val="32"/>
          <w:szCs w:val="32"/>
          <w:lang w:bidi="ar-SA"/>
        </w:rPr>
      </w:pPr>
      <w:r>
        <w:rPr>
          <w:rFonts w:hint="eastAsia" w:ascii="仿宋_GB2312" w:eastAsia="仿宋_GB2312" w:cs="宋体"/>
          <w:color w:val="333333"/>
          <w:kern w:val="0"/>
          <w:sz w:val="32"/>
          <w:szCs w:val="32"/>
          <w:lang w:bidi="ar-SA"/>
        </w:rPr>
        <w:t>我局高度重视此项预算项目绩效自评工作，积极开展，认真部署，</w:t>
      </w:r>
      <w:r>
        <w:rPr>
          <w:rFonts w:hint="eastAsia" w:ascii="仿宋_GB2312" w:eastAsia="仿宋_GB2312" w:cs="宋体"/>
          <w:sz w:val="32"/>
          <w:szCs w:val="32"/>
          <w:lang w:bidi="ar-SA"/>
        </w:rPr>
        <w:t>成立了绩效评价工作小组，主管局长为组长，相关股室负责人为成员，负责绩效评价的组织管理和实施工作。</w:t>
      </w:r>
    </w:p>
    <w:p w14:paraId="02057FC9">
      <w:pPr>
        <w:keepNext w:val="0"/>
        <w:keepLines w:val="0"/>
        <w:pageBreakBefore w:val="0"/>
        <w:widowControl w:val="0"/>
        <w:numPr>
          <w:ilvl w:val="0"/>
          <w:numId w:val="2"/>
        </w:numPr>
        <w:kinsoku/>
        <w:wordWrap/>
        <w:overflowPunct/>
        <w:topLinePunct w:val="0"/>
        <w:autoSpaceDE/>
        <w:bidi w:val="0"/>
        <w:spacing w:line="560" w:lineRule="exact"/>
        <w:textAlignment w:val="auto"/>
        <w:rPr>
          <w:rFonts w:hint="eastAsia" w:ascii="楷体_GB2312" w:eastAsia="楷体_GB2312" w:cs="楷体_GB2312"/>
          <w:b/>
          <w:bCs/>
          <w:sz w:val="32"/>
          <w:szCs w:val="32"/>
          <w:lang w:bidi="ar-SA"/>
        </w:rPr>
      </w:pPr>
      <w:r>
        <w:rPr>
          <w:rFonts w:hint="eastAsia" w:ascii="楷体_GB2312" w:eastAsia="楷体_GB2312" w:cs="楷体_GB2312"/>
          <w:b/>
          <w:bCs/>
          <w:sz w:val="32"/>
          <w:szCs w:val="32"/>
          <w:lang w:bidi="ar-SA"/>
        </w:rPr>
        <w:t>自评的方法和过程</w:t>
      </w:r>
    </w:p>
    <w:p w14:paraId="386F3E2B">
      <w:pPr>
        <w:keepNext w:val="0"/>
        <w:keepLines w:val="0"/>
        <w:pageBreakBefore w:val="0"/>
        <w:widowControl w:val="0"/>
        <w:kinsoku/>
        <w:wordWrap/>
        <w:overflowPunct/>
        <w:topLinePunct w:val="0"/>
        <w:autoSpaceDE/>
        <w:bidi w:val="0"/>
        <w:spacing w:line="560" w:lineRule="exact"/>
        <w:ind w:firstLine="640" w:firstLineChars="200"/>
        <w:jc w:val="left"/>
        <w:textAlignment w:val="auto"/>
        <w:rPr>
          <w:rFonts w:hint="eastAsia" w:ascii="仿宋_GB2312" w:eastAsia="仿宋_GB2312"/>
          <w:sz w:val="32"/>
          <w:szCs w:val="32"/>
        </w:rPr>
      </w:pPr>
      <w:r>
        <w:rPr>
          <w:rFonts w:hint="eastAsia" w:ascii="仿宋_GB2312" w:eastAsia="仿宋_GB2312"/>
          <w:sz w:val="32"/>
          <w:szCs w:val="32"/>
        </w:rPr>
        <w:t>财务人员通过财政一体化平台导出202</w:t>
      </w:r>
      <w:r>
        <w:rPr>
          <w:rFonts w:hint="eastAsia" w:ascii="仿宋_GB2312" w:eastAsia="仿宋_GB2312"/>
          <w:sz w:val="32"/>
          <w:szCs w:val="32"/>
          <w:lang w:val="en-US" w:eastAsia="zh-CN"/>
        </w:rPr>
        <w:t>4</w:t>
      </w:r>
      <w:r>
        <w:rPr>
          <w:rFonts w:hint="eastAsia" w:ascii="仿宋_GB2312" w:eastAsia="仿宋_GB2312"/>
          <w:sz w:val="32"/>
          <w:szCs w:val="32"/>
        </w:rPr>
        <w:t>年全部项目的绩效目标指标数据和预算项目支出明细账分发给绩效自评工作办公室。根据责任需要，协助查阅相关支付凭证和单据。</w:t>
      </w:r>
    </w:p>
    <w:p w14:paraId="1524AEE9">
      <w:pPr>
        <w:keepNext w:val="0"/>
        <w:keepLines w:val="0"/>
        <w:pageBreakBefore w:val="0"/>
        <w:widowControl w:val="0"/>
        <w:kinsoku/>
        <w:wordWrap/>
        <w:overflowPunct/>
        <w:topLinePunct w:val="0"/>
        <w:autoSpaceDE/>
        <w:bidi w:val="0"/>
        <w:spacing w:line="560" w:lineRule="exact"/>
        <w:ind w:firstLine="640" w:firstLineChars="200"/>
        <w:jc w:val="left"/>
        <w:textAlignment w:val="auto"/>
        <w:rPr>
          <w:rFonts w:hint="eastAsia" w:ascii="楷体_GB2312" w:eastAsia="楷体_GB2312" w:cs="楷体_GB2312"/>
          <w:b/>
          <w:bCs/>
          <w:sz w:val="32"/>
          <w:szCs w:val="32"/>
          <w:lang w:bidi="ar-SA"/>
        </w:rPr>
      </w:pPr>
      <w:r>
        <w:rPr>
          <w:rFonts w:hint="eastAsia" w:ascii="仿宋_GB2312" w:eastAsia="仿宋_GB2312"/>
          <w:sz w:val="32"/>
          <w:szCs w:val="32"/>
        </w:rPr>
        <w:t>财务室根据年初填报的《绩效目标申报表》，对本处室负责的项目分别编写《预算项目绩效自评表》并逐项开展自评。全部项目自评完成后，财务室根据整体自评情况填写《自评工作考核表》并形成《年度绩效自评工作报告》。自评结果及相关材料按照要求上报县财政局，并及时在县政府网站进行公开。</w:t>
      </w:r>
    </w:p>
    <w:p w14:paraId="203B232F">
      <w:pPr>
        <w:keepNext w:val="0"/>
        <w:keepLines w:val="0"/>
        <w:pageBreakBefore w:val="0"/>
        <w:widowControl w:val="0"/>
        <w:kinsoku/>
        <w:wordWrap/>
        <w:overflowPunct/>
        <w:topLinePunct w:val="0"/>
        <w:autoSpaceDE/>
        <w:bidi w:val="0"/>
        <w:spacing w:line="560" w:lineRule="exact"/>
        <w:ind w:firstLine="640" w:firstLineChars="200"/>
        <w:textAlignment w:val="auto"/>
        <w:rPr>
          <w:rFonts w:hint="eastAsia" w:ascii="黑体" w:eastAsia="黑体"/>
          <w:b/>
          <w:bCs/>
          <w:sz w:val="32"/>
          <w:szCs w:val="32"/>
        </w:rPr>
      </w:pPr>
      <w:r>
        <w:rPr>
          <w:rFonts w:hint="eastAsia" w:ascii="黑体" w:eastAsia="黑体"/>
          <w:sz w:val="32"/>
          <w:szCs w:val="32"/>
        </w:rPr>
        <w:t>三、部门整体支出绩效目标实现情况及指标分析</w:t>
      </w:r>
    </w:p>
    <w:p w14:paraId="215EDB56">
      <w:pPr>
        <w:keepNext w:val="0"/>
        <w:keepLines w:val="0"/>
        <w:pageBreakBefore w:val="0"/>
        <w:widowControl w:val="0"/>
        <w:numPr>
          <w:ilvl w:val="0"/>
          <w:numId w:val="3"/>
        </w:numPr>
        <w:kinsoku/>
        <w:wordWrap/>
        <w:overflowPunct/>
        <w:topLinePunct w:val="0"/>
        <w:autoSpaceDE/>
        <w:bidi w:val="0"/>
        <w:spacing w:line="560" w:lineRule="exact"/>
        <w:ind w:left="0" w:firstLine="643" w:firstLineChars="200"/>
        <w:textAlignment w:val="auto"/>
        <w:rPr>
          <w:rFonts w:hint="eastAsia" w:ascii="楷体_GB2312" w:eastAsia="楷体_GB2312" w:cs="楷体_GB2312"/>
          <w:b/>
          <w:bCs/>
          <w:sz w:val="32"/>
          <w:szCs w:val="32"/>
          <w:lang w:bidi="ar-SA"/>
        </w:rPr>
      </w:pPr>
      <w:r>
        <w:rPr>
          <w:rFonts w:hint="eastAsia" w:ascii="楷体_GB2312" w:eastAsia="楷体_GB2312" w:cs="楷体_GB2312"/>
          <w:b/>
          <w:bCs/>
          <w:sz w:val="32"/>
          <w:szCs w:val="32"/>
          <w:lang w:bidi="ar-SA"/>
        </w:rPr>
        <w:t>总体绩效目标实现情况</w:t>
      </w:r>
    </w:p>
    <w:p w14:paraId="7A90FAC2">
      <w:pPr>
        <w:keepNext w:val="0"/>
        <w:keepLines w:val="0"/>
        <w:pageBreakBefore w:val="0"/>
        <w:widowControl w:val="0"/>
        <w:kinsoku/>
        <w:wordWrap/>
        <w:overflowPunct/>
        <w:topLinePunct w:val="0"/>
        <w:autoSpaceDE/>
        <w:bidi w:val="0"/>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根据局年初工作规划和重点工作，围绕县委、县政府要求，较好的完成了年度目标工作。通过加强预算收支管理，不断健全内部管理制度，部门整体支出管理情况得到提升，支出总额控制在预算总额以内。</w:t>
      </w:r>
    </w:p>
    <w:p w14:paraId="0939A82E">
      <w:pPr>
        <w:keepNext w:val="0"/>
        <w:keepLines w:val="0"/>
        <w:pageBreakBefore w:val="0"/>
        <w:widowControl w:val="0"/>
        <w:kinsoku/>
        <w:wordWrap/>
        <w:overflowPunct/>
        <w:topLinePunct w:val="0"/>
        <w:autoSpaceDE/>
        <w:bidi w:val="0"/>
        <w:spacing w:line="560" w:lineRule="exact"/>
        <w:textAlignment w:val="auto"/>
        <w:rPr>
          <w:rFonts w:hint="eastAsia" w:ascii="楷体_GB2312" w:eastAsia="楷体_GB2312"/>
          <w:b/>
          <w:bCs/>
          <w:sz w:val="32"/>
          <w:szCs w:val="32"/>
        </w:rPr>
      </w:pPr>
      <w:r>
        <w:rPr>
          <w:rFonts w:hint="eastAsia" w:ascii="仿宋" w:eastAsia="仿宋" w:cs="楷体_GB2312"/>
          <w:b/>
          <w:bCs/>
          <w:sz w:val="32"/>
          <w:szCs w:val="32"/>
          <w:lang w:bidi="ar-SA"/>
        </w:rPr>
        <w:t xml:space="preserve">  </w:t>
      </w:r>
      <w:r>
        <w:rPr>
          <w:rFonts w:hint="eastAsia" w:ascii="楷体_GB2312" w:eastAsia="楷体_GB2312" w:cs="楷体_GB2312"/>
          <w:b/>
          <w:bCs/>
          <w:sz w:val="32"/>
          <w:szCs w:val="32"/>
          <w:lang w:bidi="ar-SA"/>
        </w:rPr>
        <w:t xml:space="preserve">  （二）分项绩效目标实现情况及指标分析</w:t>
      </w:r>
    </w:p>
    <w:p w14:paraId="3C3BD4CA">
      <w:pPr>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autoSpaceDE/>
        <w:autoSpaceDN w:val="0"/>
        <w:bidi w:val="0"/>
        <w:adjustRightInd/>
        <w:snapToGrid/>
        <w:spacing w:line="560" w:lineRule="exact"/>
        <w:ind w:left="0" w:right="0" w:firstLine="640" w:firstLineChars="200"/>
        <w:textAlignment w:val="auto"/>
        <w:rPr>
          <w:rFonts w:hint="eastAsia" w:ascii="仿宋_GB2312" w:eastAsia="仿宋_GB2312" w:cs="仿宋_GB2312"/>
          <w:sz w:val="32"/>
          <w:szCs w:val="32"/>
          <w:highlight w:val="none"/>
          <w:lang w:val="en-US" w:eastAsia="zh-CN" w:bidi="ar-SA"/>
        </w:rPr>
      </w:pPr>
      <w:r>
        <w:rPr>
          <w:rFonts w:hint="eastAsia" w:ascii="仿宋_GB2312" w:eastAsia="仿宋_GB2312" w:cs="楷体_GB2312"/>
          <w:sz w:val="32"/>
          <w:szCs w:val="32"/>
          <w:lang w:val="en-US" w:eastAsia="zh-CN" w:bidi="ar-SA"/>
        </w:rPr>
        <w:t>在“优服务”中增强“干事之能”。</w:t>
      </w:r>
      <w:r>
        <w:rPr>
          <w:rFonts w:hint="eastAsia" w:ascii="仿宋_GB2312" w:eastAsia="仿宋_GB2312" w:cs="仿宋_GB2312"/>
          <w:bCs/>
          <w:sz w:val="32"/>
          <w:szCs w:val="32"/>
          <w:highlight w:val="none"/>
          <w:lang w:val="en-US" w:eastAsia="zh-CN" w:bidi="ar-SA"/>
        </w:rPr>
        <w:t>一是</w:t>
      </w:r>
      <w:r>
        <w:rPr>
          <w:rFonts w:hint="eastAsia" w:ascii="仿宋_GB2312" w:eastAsia="仿宋_GB2312" w:cs="仿宋_GB2312"/>
          <w:sz w:val="32"/>
          <w:szCs w:val="32"/>
          <w:lang w:val="en-US" w:eastAsia="zh-CN" w:bidi="ar-SA"/>
        </w:rPr>
        <w:t>企业开办集成服务，免费刻制公章，超额完成市场主体提质增量全年目标。</w:t>
      </w:r>
      <w:r>
        <w:rPr>
          <w:rFonts w:hint="eastAsia" w:ascii="仿宋_GB2312" w:eastAsia="仿宋_GB2312" w:cs="仿宋_GB2312"/>
          <w:bCs/>
          <w:sz w:val="32"/>
          <w:szCs w:val="32"/>
          <w:highlight w:val="none"/>
          <w:lang w:val="en-US" w:eastAsia="zh-CN" w:bidi="ar-SA"/>
        </w:rPr>
        <w:t>二是</w:t>
      </w:r>
      <w:r>
        <w:rPr>
          <w:rFonts w:hint="eastAsia" w:ascii="仿宋_GB2312" w:eastAsia="仿宋_GB2312" w:cs="仿宋_GB2312"/>
          <w:sz w:val="32"/>
          <w:szCs w:val="32"/>
          <w:lang w:bidi="ar-SA"/>
        </w:rPr>
        <w:t>工程建设项目</w:t>
      </w:r>
      <w:r>
        <w:rPr>
          <w:rFonts w:hint="eastAsia" w:ascii="仿宋_GB2312" w:eastAsia="仿宋_GB2312" w:cs="仿宋_GB2312"/>
          <w:sz w:val="32"/>
          <w:szCs w:val="32"/>
          <w:lang w:val="en-US" w:eastAsia="zh-CN" w:bidi="ar-SA"/>
        </w:rPr>
        <w:t>审批实现立项、规划、施工、验收4个阶段一站式集中并联审批，推行零动审批、打包服务、帮办代办等举措，得到项目单位一致好评。</w:t>
      </w:r>
      <w:r>
        <w:rPr>
          <w:rFonts w:hint="eastAsia" w:ascii="仿宋_GB2312" w:eastAsia="仿宋_GB2312" w:cs="仿宋_GB2312"/>
          <w:bCs/>
          <w:sz w:val="32"/>
          <w:szCs w:val="32"/>
          <w:lang w:val="en-US" w:eastAsia="zh-CN" w:bidi="ar-SA"/>
        </w:rPr>
        <w:t>三</w:t>
      </w:r>
      <w:r>
        <w:rPr>
          <w:rFonts w:hint="eastAsia" w:ascii="仿宋_GB2312" w:eastAsia="仿宋_GB2312" w:cs="仿宋_GB2312"/>
          <w:bCs/>
          <w:sz w:val="32"/>
          <w:szCs w:val="32"/>
          <w:highlight w:val="none"/>
          <w:lang w:val="en-US" w:eastAsia="zh-CN" w:bidi="ar-SA"/>
        </w:rPr>
        <w:t>是</w:t>
      </w:r>
      <w:r>
        <w:rPr>
          <w:rFonts w:hint="eastAsia" w:ascii="仿宋_GB2312" w:eastAsia="仿宋_GB2312" w:cs="仿宋_GB2312"/>
          <w:sz w:val="32"/>
          <w:szCs w:val="32"/>
          <w:highlight w:val="none"/>
          <w:lang w:val="en-US" w:eastAsia="zh-CN" w:bidi="ar-SA"/>
        </w:rPr>
        <w:t>综合受理推行</w:t>
      </w:r>
      <w:r>
        <w:rPr>
          <w:rFonts w:hint="eastAsia" w:ascii="仿宋_GB2312" w:eastAsia="仿宋_GB2312" w:cs="仿宋_GB2312"/>
          <w:sz w:val="32"/>
          <w:szCs w:val="32"/>
          <w:lang w:val="en-US" w:eastAsia="zh-CN" w:bidi="ar-SA"/>
        </w:rPr>
        <w:t>“证照联办”</w:t>
      </w:r>
      <w:r>
        <w:rPr>
          <w:rFonts w:hint="eastAsia" w:ascii="仿宋_GB2312" w:eastAsia="仿宋_GB2312" w:cs="仿宋_GB2312"/>
          <w:sz w:val="32"/>
          <w:szCs w:val="32"/>
          <w:highlight w:val="none"/>
          <w:lang w:val="en-US" w:eastAsia="zh-CN" w:bidi="ar-SA"/>
        </w:rPr>
        <w:t>“一件事一次办”</w:t>
      </w:r>
      <w:r>
        <w:rPr>
          <w:rFonts w:hint="eastAsia" w:ascii="仿宋_GB2312" w:eastAsia="仿宋_GB2312" w:cs="仿宋_GB2312"/>
          <w:sz w:val="32"/>
          <w:szCs w:val="32"/>
          <w:lang w:val="en-US" w:eastAsia="zh-CN" w:bidi="ar-SA"/>
        </w:rPr>
        <w:t>“跨省通办”等便民举措，实现了政务服务一窗办、一次办、就近办。</w:t>
      </w:r>
      <w:r>
        <w:rPr>
          <w:rFonts w:hint="eastAsia" w:ascii="仿宋_GB2312" w:eastAsia="仿宋_GB2312" w:cs="仿宋_GB2312"/>
          <w:bCs/>
          <w:sz w:val="32"/>
          <w:szCs w:val="32"/>
          <w:lang w:val="en-US" w:eastAsia="zh-CN" w:bidi="ar-SA"/>
        </w:rPr>
        <w:t>四是</w:t>
      </w:r>
      <w:r>
        <w:rPr>
          <w:rFonts w:hint="eastAsia" w:ascii="仿宋_GB2312" w:eastAsia="仿宋_GB2312" w:cs="仿宋_GB2312"/>
          <w:sz w:val="32"/>
          <w:szCs w:val="32"/>
          <w:lang w:val="en-US" w:eastAsia="zh-CN" w:bidi="ar-SA"/>
        </w:rPr>
        <w:t>信用建设争创全省县级试点，归集信用信息，深化信用承诺审批，推广信用场景领域、信用激励举措，助力营造</w:t>
      </w:r>
      <w:r>
        <w:rPr>
          <w:rFonts w:hint="eastAsia" w:ascii="仿宋_GB2312" w:eastAsia="仿宋_GB2312" w:cs="仿宋_GB2312"/>
          <w:sz w:val="32"/>
          <w:szCs w:val="32"/>
          <w:lang w:bidi="ar-SA"/>
        </w:rPr>
        <w:t>诚实守信的信用环境</w:t>
      </w:r>
      <w:r>
        <w:rPr>
          <w:rFonts w:hint="eastAsia" w:ascii="仿宋_GB2312" w:eastAsia="仿宋_GB2312" w:cs="仿宋_GB2312"/>
          <w:sz w:val="32"/>
          <w:szCs w:val="32"/>
          <w:lang w:eastAsia="zh-CN" w:bidi="ar-SA"/>
        </w:rPr>
        <w:t>。</w:t>
      </w:r>
    </w:p>
    <w:p w14:paraId="48810A5B">
      <w:pPr>
        <w:keepNext w:val="0"/>
        <w:keepLines w:val="0"/>
        <w:pageBreakBefore w:val="0"/>
        <w:widowControl w:val="0"/>
        <w:kinsoku/>
        <w:wordWrap/>
        <w:overflowPunct/>
        <w:topLinePunct w:val="0"/>
        <w:autoSpaceDE/>
        <w:bidi w:val="0"/>
        <w:spacing w:line="560" w:lineRule="exact"/>
        <w:ind w:left="0" w:firstLine="640" w:firstLineChars="200"/>
        <w:textAlignment w:val="auto"/>
        <w:rPr>
          <w:rFonts w:hint="eastAsia" w:ascii="黑体" w:eastAsia="黑体"/>
          <w:sz w:val="32"/>
          <w:szCs w:val="32"/>
        </w:rPr>
      </w:pPr>
      <w:r>
        <w:rPr>
          <w:rFonts w:hint="eastAsia" w:ascii="黑体" w:eastAsia="黑体"/>
          <w:sz w:val="32"/>
          <w:szCs w:val="32"/>
        </w:rPr>
        <w:t>四、评价结论和评价等级</w:t>
      </w:r>
    </w:p>
    <w:p w14:paraId="48252F05">
      <w:pPr>
        <w:keepNext w:val="0"/>
        <w:keepLines w:val="0"/>
        <w:pageBreakBefore w:val="0"/>
        <w:widowControl w:val="0"/>
        <w:kinsoku/>
        <w:wordWrap/>
        <w:overflowPunct/>
        <w:topLinePunct w:val="0"/>
        <w:autoSpaceDE/>
        <w:bidi w:val="0"/>
        <w:spacing w:line="560" w:lineRule="exact"/>
        <w:ind w:firstLine="640" w:firstLineChars="200"/>
        <w:textAlignment w:val="auto"/>
        <w:rPr>
          <w:rFonts w:hint="eastAsia" w:ascii="仿宋_GB2312" w:eastAsia="仿宋_GB2312" w:cs="仿宋_GB2312"/>
          <w:sz w:val="32"/>
          <w:szCs w:val="32"/>
          <w:lang w:bidi="ar-SA"/>
        </w:rPr>
      </w:pPr>
      <w:r>
        <w:rPr>
          <w:rFonts w:hint="eastAsia" w:ascii="仿宋_GB2312" w:eastAsia="仿宋_GB2312" w:cs="仿宋_GB2312"/>
          <w:sz w:val="32"/>
          <w:szCs w:val="32"/>
          <w:lang w:bidi="ar-SA"/>
        </w:rPr>
        <w:t>根据部门职责定位和各项工作履职情况进行综合评价，给出得分100分，得出综合绩效评价等级为优秀。</w:t>
      </w:r>
    </w:p>
    <w:p w14:paraId="4B518DF7">
      <w:pPr>
        <w:keepNext w:val="0"/>
        <w:keepLines w:val="0"/>
        <w:pageBreakBefore w:val="0"/>
        <w:widowControl w:val="0"/>
        <w:kinsoku/>
        <w:wordWrap/>
        <w:overflowPunct/>
        <w:topLinePunct w:val="0"/>
        <w:autoSpaceDE/>
        <w:bidi w:val="0"/>
        <w:spacing w:line="560" w:lineRule="exact"/>
        <w:ind w:firstLine="640" w:firstLineChars="200"/>
        <w:textAlignment w:val="auto"/>
        <w:rPr>
          <w:rFonts w:hint="eastAsia" w:ascii="黑体" w:eastAsia="黑体" w:cs="宋体"/>
          <w:bCs/>
          <w:sz w:val="32"/>
          <w:szCs w:val="32"/>
          <w:lang w:bidi="ar-SA"/>
        </w:rPr>
      </w:pPr>
      <w:r>
        <w:rPr>
          <w:rFonts w:hint="eastAsia" w:ascii="黑体" w:eastAsia="黑体" w:cs="宋体"/>
          <w:bCs/>
          <w:sz w:val="32"/>
          <w:szCs w:val="32"/>
          <w:lang w:bidi="ar-SA"/>
        </w:rPr>
        <w:t>五、存在的问题及改进措施</w:t>
      </w:r>
    </w:p>
    <w:p w14:paraId="11D442B5">
      <w:pPr>
        <w:keepNext w:val="0"/>
        <w:keepLines w:val="0"/>
        <w:pageBreakBefore w:val="0"/>
        <w:widowControl w:val="0"/>
        <w:kinsoku/>
        <w:wordWrap/>
        <w:overflowPunct/>
        <w:topLinePunct w:val="0"/>
        <w:autoSpaceDE/>
        <w:bidi w:val="0"/>
        <w:spacing w:line="560" w:lineRule="exact"/>
        <w:ind w:firstLine="640" w:firstLineChars="200"/>
        <w:textAlignment w:val="auto"/>
        <w:rPr>
          <w:rFonts w:ascii="Calibri" w:hAnsi="Calibri" w:eastAsia="仿宋_GB2312" w:cs="宋体"/>
          <w:sz w:val="32"/>
          <w:szCs w:val="32"/>
          <w:lang w:bidi="ar-SA"/>
        </w:rPr>
      </w:pPr>
      <w:r>
        <w:rPr>
          <w:rFonts w:hint="eastAsia" w:ascii="仿宋_GB2312" w:eastAsia="仿宋_GB2312" w:cs="宋体"/>
          <w:sz w:val="32"/>
          <w:szCs w:val="32"/>
          <w:lang w:bidi="ar-SA"/>
        </w:rPr>
        <w:t>（一）精细管理预算编制。要及时做好预算编制。严格按照预算管理要求，</w:t>
      </w:r>
      <w:r>
        <w:rPr>
          <w:rFonts w:hint="eastAsia" w:ascii="Calibri" w:hAnsi="Calibri" w:eastAsia="仿宋_GB2312" w:cs="宋体"/>
          <w:sz w:val="32"/>
          <w:szCs w:val="32"/>
          <w:lang w:bidi="ar-SA"/>
        </w:rPr>
        <w:t>提高预算编制科学性和合理性，优化资金结构，</w:t>
      </w:r>
      <w:r>
        <w:rPr>
          <w:rFonts w:hint="eastAsia" w:ascii="仿宋_GB2312" w:eastAsia="仿宋_GB2312" w:cs="宋体"/>
          <w:sz w:val="32"/>
          <w:szCs w:val="32"/>
          <w:lang w:bidi="ar-SA"/>
        </w:rPr>
        <w:t>进行预算编制。</w:t>
      </w:r>
    </w:p>
    <w:p w14:paraId="7CDEAC0D">
      <w:pPr>
        <w:keepNext w:val="0"/>
        <w:keepLines w:val="0"/>
        <w:pageBreakBefore w:val="0"/>
        <w:widowControl w:val="0"/>
        <w:kinsoku/>
        <w:wordWrap/>
        <w:overflowPunct/>
        <w:topLinePunct w:val="0"/>
        <w:autoSpaceDE/>
        <w:bidi w:val="0"/>
        <w:spacing w:line="560" w:lineRule="exact"/>
        <w:ind w:firstLine="640" w:firstLineChars="200"/>
        <w:textAlignment w:val="auto"/>
        <w:rPr>
          <w:rFonts w:hint="eastAsia" w:ascii="仿宋_GB2312" w:eastAsia="仿宋_GB2312" w:cs="宋体"/>
          <w:sz w:val="32"/>
          <w:szCs w:val="32"/>
          <w:lang w:bidi="ar-SA"/>
        </w:rPr>
      </w:pPr>
      <w:r>
        <w:rPr>
          <w:rFonts w:hint="eastAsia" w:ascii="仿宋_GB2312" w:eastAsia="仿宋_GB2312" w:cs="宋体"/>
          <w:sz w:val="32"/>
          <w:szCs w:val="32"/>
          <w:lang w:bidi="ar-SA"/>
        </w:rPr>
        <w:t>（二）积极推动预算执行。一是深化预算控制层级，要真实准确的进行核算，按预算编制内容保证预算支出进度，提高财政资金利用率。二是要切实加强财务分析。要善于发现问题，管控风险。通过全面、系统、深入的财务分析，及时通报预算执行情况，及时发现预算管理中的问题，及时采取调整、纠偏方式进行完善。</w:t>
      </w:r>
    </w:p>
    <w:p w14:paraId="3BB09528">
      <w:pPr>
        <w:keepNext w:val="0"/>
        <w:keepLines w:val="0"/>
        <w:pageBreakBefore w:val="0"/>
        <w:widowControl w:val="0"/>
        <w:kinsoku/>
        <w:wordWrap/>
        <w:overflowPunct/>
        <w:topLinePunct w:val="0"/>
        <w:autoSpaceDE/>
        <w:bidi w:val="0"/>
        <w:spacing w:line="560" w:lineRule="exact"/>
        <w:ind w:firstLine="640" w:firstLineChars="200"/>
        <w:textAlignment w:val="auto"/>
        <w:rPr>
          <w:rFonts w:hint="eastAsia" w:ascii="仿宋_GB2312" w:eastAsia="仿宋_GB2312" w:cs="宋体"/>
          <w:sz w:val="32"/>
          <w:szCs w:val="32"/>
          <w:lang w:bidi="ar-SA"/>
        </w:rPr>
      </w:pPr>
      <w:r>
        <w:rPr>
          <w:rFonts w:hint="eastAsia" w:ascii="仿宋_GB2312" w:eastAsia="仿宋_GB2312" w:cs="宋体"/>
          <w:sz w:val="32"/>
          <w:szCs w:val="32"/>
          <w:lang w:bidi="ar-SA"/>
        </w:rPr>
        <w:t>（三）建立全过程绩效管理。设立科学合理的绩效目标和指标，增强目标约束力和执行力。进一步细化量化资金使用绩效目标，树立现代绩效管理理念。</w:t>
      </w:r>
    </w:p>
    <w:p w14:paraId="5EA327B9">
      <w:pPr>
        <w:keepNext w:val="0"/>
        <w:keepLines w:val="0"/>
        <w:pageBreakBefore w:val="0"/>
        <w:widowControl w:val="0"/>
        <w:kinsoku/>
        <w:wordWrap/>
        <w:overflowPunct/>
        <w:topLinePunct w:val="0"/>
        <w:autoSpaceDE/>
        <w:bidi w:val="0"/>
        <w:spacing w:line="560" w:lineRule="exact"/>
        <w:ind w:firstLine="643" w:firstLineChars="200"/>
        <w:textAlignment w:val="auto"/>
        <w:rPr>
          <w:rFonts w:hint="eastAsia" w:ascii="宋体" w:cs="宋体"/>
          <w:b/>
          <w:bCs/>
          <w:sz w:val="32"/>
          <w:szCs w:val="32"/>
          <w:lang w:bidi="ar-SA"/>
        </w:rPr>
      </w:pPr>
      <w:r>
        <w:rPr>
          <w:rFonts w:hint="eastAsia" w:ascii="宋体" w:cs="宋体"/>
          <w:b/>
          <w:bCs/>
          <w:sz w:val="32"/>
          <w:szCs w:val="32"/>
          <w:lang w:bidi="ar-SA"/>
        </w:rPr>
        <w:t>六、评价工作组人员名单及签字：</w:t>
      </w:r>
    </w:p>
    <w:p w14:paraId="1D484BD8">
      <w:pPr>
        <w:keepNext w:val="0"/>
        <w:keepLines w:val="0"/>
        <w:pageBreakBefore w:val="0"/>
        <w:widowControl w:val="0"/>
        <w:kinsoku/>
        <w:wordWrap/>
        <w:overflowPunct/>
        <w:topLinePunct w:val="0"/>
        <w:autoSpaceDE/>
        <w:bidi w:val="0"/>
        <w:spacing w:line="560" w:lineRule="exact"/>
        <w:ind w:firstLine="640" w:firstLineChars="200"/>
        <w:textAlignment w:val="auto"/>
        <w:rPr>
          <w:rFonts w:hint="eastAsia" w:ascii="仿宋_GB2312" w:eastAsia="仿宋_GB2312" w:cs="宋体"/>
          <w:sz w:val="32"/>
          <w:szCs w:val="32"/>
          <w:lang w:val="en-US" w:eastAsia="zh-CN" w:bidi="ar-SA"/>
        </w:rPr>
      </w:pPr>
      <w:r>
        <w:rPr>
          <w:rFonts w:hint="eastAsia" w:ascii="仿宋_GB2312" w:eastAsia="仿宋_GB2312" w:cs="宋体"/>
          <w:sz w:val="32"/>
          <w:szCs w:val="32"/>
          <w:lang w:val="en-US" w:eastAsia="zh-CN" w:bidi="ar-SA"/>
        </w:rPr>
        <w:t>组  长：王爱中  党组成员  副局长</w:t>
      </w:r>
    </w:p>
    <w:p w14:paraId="79559C14">
      <w:pPr>
        <w:keepNext w:val="0"/>
        <w:keepLines w:val="0"/>
        <w:pageBreakBefore w:val="0"/>
        <w:widowControl w:val="0"/>
        <w:kinsoku/>
        <w:wordWrap/>
        <w:overflowPunct/>
        <w:topLinePunct w:val="0"/>
        <w:autoSpaceDE/>
        <w:bidi w:val="0"/>
        <w:spacing w:line="560" w:lineRule="exact"/>
        <w:ind w:firstLine="640" w:firstLineChars="200"/>
        <w:textAlignment w:val="auto"/>
        <w:rPr>
          <w:rFonts w:hint="eastAsia" w:ascii="宋体" w:cs="宋体"/>
          <w:b/>
          <w:bCs/>
          <w:sz w:val="32"/>
          <w:szCs w:val="32"/>
          <w:lang w:bidi="ar-SA"/>
        </w:rPr>
      </w:pPr>
      <w:r>
        <w:rPr>
          <w:rFonts w:hint="eastAsia" w:ascii="仿宋_GB2312" w:eastAsia="仿宋_GB2312" w:cs="宋体"/>
          <w:sz w:val="32"/>
          <w:szCs w:val="32"/>
          <w:lang w:val="en-US" w:eastAsia="zh-CN" w:bidi="ar-SA"/>
        </w:rPr>
        <w:t>成  员：张晓佩  党组成员  办公室主任</w:t>
      </w:r>
    </w:p>
    <w:p w14:paraId="6F50E38D">
      <w:pPr>
        <w:keepNext w:val="0"/>
        <w:keepLines w:val="0"/>
        <w:pageBreakBefore w:val="0"/>
        <w:widowControl w:val="0"/>
        <w:kinsoku/>
        <w:wordWrap/>
        <w:overflowPunct/>
        <w:topLinePunct w:val="0"/>
        <w:autoSpaceDE/>
        <w:bidi w:val="0"/>
        <w:spacing w:line="560" w:lineRule="exact"/>
        <w:ind w:firstLine="643" w:firstLineChars="200"/>
        <w:textAlignment w:val="auto"/>
        <w:rPr>
          <w:rFonts w:hint="eastAsia" w:ascii="宋体" w:cs="宋体"/>
          <w:b/>
          <w:bCs/>
          <w:sz w:val="32"/>
          <w:szCs w:val="32"/>
          <w:lang w:bidi="ar-SA"/>
        </w:rPr>
      </w:pPr>
    </w:p>
    <w:p w14:paraId="48232320">
      <w:pPr>
        <w:keepNext w:val="0"/>
        <w:keepLines w:val="0"/>
        <w:pageBreakBefore w:val="0"/>
        <w:widowControl w:val="0"/>
        <w:kinsoku/>
        <w:wordWrap/>
        <w:overflowPunct/>
        <w:topLinePunct w:val="0"/>
        <w:autoSpaceDE/>
        <w:bidi w:val="0"/>
        <w:spacing w:line="560" w:lineRule="exact"/>
        <w:textAlignment w:val="auto"/>
      </w:pPr>
    </w:p>
    <w:p w14:paraId="1B1C7C08">
      <w:pPr>
        <w:keepNext w:val="0"/>
        <w:keepLines w:val="0"/>
        <w:pageBreakBefore w:val="0"/>
        <w:widowControl w:val="0"/>
        <w:kinsoku/>
        <w:wordWrap/>
        <w:overflowPunct/>
        <w:topLinePunct w:val="0"/>
        <w:autoSpaceDE/>
        <w:bidi w:val="0"/>
        <w:spacing w:line="560" w:lineRule="exact"/>
        <w:textAlignment w:val="auto"/>
        <w:rPr>
          <w:rFonts w:hint="eastAsia" w:ascii="仿宋_GB2312" w:eastAsia="仿宋_GB2312" w:cs="宋体"/>
          <w:sz w:val="32"/>
          <w:szCs w:val="32"/>
          <w:lang w:eastAsia="zh-CN" w:bidi="ar-SA"/>
        </w:rPr>
      </w:pPr>
      <w:r>
        <w:rPr>
          <w:rFonts w:hint="eastAsia" w:ascii="黑体" w:eastAsia="黑体"/>
          <w:sz w:val="32"/>
          <w:szCs w:val="32"/>
        </w:rPr>
        <w:t xml:space="preserve">                                 </w:t>
      </w:r>
      <w:r>
        <w:rPr>
          <w:rFonts w:hint="eastAsia" w:ascii="仿宋_GB2312" w:eastAsia="仿宋_GB2312" w:cs="宋体"/>
          <w:sz w:val="32"/>
          <w:szCs w:val="32"/>
          <w:lang w:eastAsia="zh-CN" w:bidi="ar-SA"/>
        </w:rPr>
        <w:t>元氏县数据和政务服务局</w:t>
      </w:r>
    </w:p>
    <w:p w14:paraId="22273D11">
      <w:pPr>
        <w:keepNext w:val="0"/>
        <w:keepLines w:val="0"/>
        <w:pageBreakBefore w:val="0"/>
        <w:widowControl w:val="0"/>
        <w:kinsoku/>
        <w:wordWrap/>
        <w:overflowPunct/>
        <w:topLinePunct w:val="0"/>
        <w:autoSpaceDE/>
        <w:bidi w:val="0"/>
        <w:spacing w:line="560" w:lineRule="exact"/>
        <w:ind w:firstLine="640" w:firstLineChars="200"/>
        <w:jc w:val="right"/>
        <w:textAlignment w:val="auto"/>
        <w:rPr>
          <w:rFonts w:ascii="仿宋" w:hAnsi="仿宋" w:eastAsia="仿宋"/>
        </w:rPr>
      </w:pPr>
      <w:r>
        <w:rPr>
          <w:rFonts w:hint="eastAsia" w:ascii="仿宋_GB2312" w:eastAsia="仿宋_GB2312" w:cs="宋体"/>
          <w:sz w:val="32"/>
          <w:szCs w:val="32"/>
          <w:lang w:bidi="ar-SA"/>
        </w:rPr>
        <w:t>202</w:t>
      </w:r>
      <w:r>
        <w:rPr>
          <w:rFonts w:hint="eastAsia" w:ascii="仿宋_GB2312" w:eastAsia="仿宋_GB2312" w:cs="宋体"/>
          <w:sz w:val="32"/>
          <w:szCs w:val="32"/>
          <w:lang w:val="en-US" w:eastAsia="zh-CN" w:bidi="ar-SA"/>
        </w:rPr>
        <w:t>5</w:t>
      </w:r>
      <w:r>
        <w:rPr>
          <w:rFonts w:hint="eastAsia" w:ascii="仿宋_GB2312" w:eastAsia="仿宋_GB2312" w:cs="宋体"/>
          <w:sz w:val="32"/>
          <w:szCs w:val="32"/>
          <w:lang w:bidi="ar-SA"/>
        </w:rPr>
        <w:t>年4月18日</w:t>
      </w:r>
    </w:p>
    <w:sectPr>
      <w:footerReference r:id="rId3" w:type="default"/>
      <w:pgSz w:w="11906" w:h="16838"/>
      <w:pgMar w:top="1134" w:right="1474" w:bottom="1134" w:left="1587" w:header="851" w:footer="992" w:gutter="0"/>
      <w:paperSrc/>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楷体">
    <w:altName w:val="楷体_GB2312"/>
    <w:panose1 w:val="02010600040101010101"/>
    <w:charset w:val="86"/>
    <w:family w:val="auto"/>
    <w:pitch w:val="default"/>
    <w:sig w:usb0="00000000" w:usb1="00000000" w:usb2="00000010" w:usb3="00000000" w:csb0="0004009F"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DengXian-Regular">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A877BC">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04E93AD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- 2 -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DE0A19B"/>
    <w:multiLevelType w:val="singleLevel"/>
    <w:tmpl w:val="EDE0A19B"/>
    <w:lvl w:ilvl="0" w:tentative="0">
      <w:start w:val="3"/>
      <w:numFmt w:val="decimal"/>
      <w:suff w:val="nothing"/>
      <w:lvlText w:val="%1．"/>
      <w:lvlJc w:val="left"/>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46E0E"/>
    <w:rsid w:val="00330228"/>
    <w:rsid w:val="00384A26"/>
    <w:rsid w:val="003D62B9"/>
    <w:rsid w:val="00665343"/>
    <w:rsid w:val="007267F3"/>
    <w:rsid w:val="00773795"/>
    <w:rsid w:val="007E6C1F"/>
    <w:rsid w:val="00956A93"/>
    <w:rsid w:val="009E575C"/>
    <w:rsid w:val="009E6C7C"/>
    <w:rsid w:val="00AF167E"/>
    <w:rsid w:val="00AF566A"/>
    <w:rsid w:val="00B478EA"/>
    <w:rsid w:val="00B6553A"/>
    <w:rsid w:val="00BC6576"/>
    <w:rsid w:val="00C75712"/>
    <w:rsid w:val="00CE06BA"/>
    <w:rsid w:val="00CE3FAD"/>
    <w:rsid w:val="00D1126E"/>
    <w:rsid w:val="00EB47BA"/>
    <w:rsid w:val="00F441CC"/>
    <w:rsid w:val="01B104CA"/>
    <w:rsid w:val="02106AB0"/>
    <w:rsid w:val="02B43A28"/>
    <w:rsid w:val="038325D2"/>
    <w:rsid w:val="046F331E"/>
    <w:rsid w:val="063B53E6"/>
    <w:rsid w:val="0749768F"/>
    <w:rsid w:val="07956271"/>
    <w:rsid w:val="09721397"/>
    <w:rsid w:val="0BB63BED"/>
    <w:rsid w:val="0C3E5F94"/>
    <w:rsid w:val="0D2546FA"/>
    <w:rsid w:val="0EB97A43"/>
    <w:rsid w:val="0EBD2122"/>
    <w:rsid w:val="0F214EAE"/>
    <w:rsid w:val="0FB029A1"/>
    <w:rsid w:val="11300162"/>
    <w:rsid w:val="11B71E6A"/>
    <w:rsid w:val="1283614B"/>
    <w:rsid w:val="13511DA5"/>
    <w:rsid w:val="14091F45"/>
    <w:rsid w:val="16730284"/>
    <w:rsid w:val="171C49E1"/>
    <w:rsid w:val="1AAF0063"/>
    <w:rsid w:val="1AD659C6"/>
    <w:rsid w:val="1B105598"/>
    <w:rsid w:val="1BCC2910"/>
    <w:rsid w:val="1BE140DE"/>
    <w:rsid w:val="1F5F3A9B"/>
    <w:rsid w:val="1FE8583F"/>
    <w:rsid w:val="20E34258"/>
    <w:rsid w:val="21FD7468"/>
    <w:rsid w:val="227B299A"/>
    <w:rsid w:val="248C197D"/>
    <w:rsid w:val="252959AF"/>
    <w:rsid w:val="25766464"/>
    <w:rsid w:val="27565784"/>
    <w:rsid w:val="277A6671"/>
    <w:rsid w:val="292D35B7"/>
    <w:rsid w:val="2A3C5105"/>
    <w:rsid w:val="2A6E7417"/>
    <w:rsid w:val="2A8F792B"/>
    <w:rsid w:val="2BEF7F55"/>
    <w:rsid w:val="2D952286"/>
    <w:rsid w:val="2EC21951"/>
    <w:rsid w:val="309D29E7"/>
    <w:rsid w:val="3150593A"/>
    <w:rsid w:val="32236BAB"/>
    <w:rsid w:val="32C043F9"/>
    <w:rsid w:val="33EB6CFF"/>
    <w:rsid w:val="35A12947"/>
    <w:rsid w:val="37387040"/>
    <w:rsid w:val="3B042005"/>
    <w:rsid w:val="3B625C0A"/>
    <w:rsid w:val="3C3519B4"/>
    <w:rsid w:val="3CD016DD"/>
    <w:rsid w:val="3CEE1963"/>
    <w:rsid w:val="3D8E5820"/>
    <w:rsid w:val="3D9E1E50"/>
    <w:rsid w:val="3E09759C"/>
    <w:rsid w:val="42666D6B"/>
    <w:rsid w:val="436B78D3"/>
    <w:rsid w:val="45564738"/>
    <w:rsid w:val="47FC782A"/>
    <w:rsid w:val="4C9C27FE"/>
    <w:rsid w:val="512260B4"/>
    <w:rsid w:val="52BD6ACB"/>
    <w:rsid w:val="52EF6119"/>
    <w:rsid w:val="55537534"/>
    <w:rsid w:val="561A74F1"/>
    <w:rsid w:val="597244E8"/>
    <w:rsid w:val="5A867B53"/>
    <w:rsid w:val="5A9F0C15"/>
    <w:rsid w:val="5E1E52D9"/>
    <w:rsid w:val="5EB71C30"/>
    <w:rsid w:val="61946FF9"/>
    <w:rsid w:val="65C77271"/>
    <w:rsid w:val="66AF0CE5"/>
    <w:rsid w:val="670D5158"/>
    <w:rsid w:val="6A8E65B0"/>
    <w:rsid w:val="6AC537CF"/>
    <w:rsid w:val="6B937446"/>
    <w:rsid w:val="6CF3094C"/>
    <w:rsid w:val="6E5B14A6"/>
    <w:rsid w:val="6F5558EE"/>
    <w:rsid w:val="711B255E"/>
    <w:rsid w:val="74620891"/>
    <w:rsid w:val="74D95FC0"/>
    <w:rsid w:val="74FD05BA"/>
    <w:rsid w:val="77B50480"/>
    <w:rsid w:val="7BB51E06"/>
    <w:rsid w:val="7C387F7C"/>
    <w:rsid w:val="7CDA010F"/>
    <w:rsid w:val="7D831878"/>
    <w:rsid w:val="7E455770"/>
    <w:rsid w:val="7FCC7507"/>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2607</Words>
  <Characters>2659</Characters>
  <Lines>4</Lines>
  <Paragraphs>1</Paragraphs>
  <TotalTime>2</TotalTime>
  <ScaleCrop>false</ScaleCrop>
  <LinksUpToDate>false</LinksUpToDate>
  <CharactersWithSpaces>2703</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2025-04-21T01:53:50Z</cp:lastPrinted>
  <dcterms:modified xsi:type="dcterms:W3CDTF">2025-04-21T01:55:38Z</dcterms:modified>
  <dc:title>附件3：</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96934721B1514D3FBAA28020338CE855_12</vt:lpwstr>
  </property>
  <property fmtid="{D5CDD505-2E9C-101B-9397-08002B2CF9AE}" pid="4" name="KSOTemplateDocerSaveRecord">
    <vt:lpwstr>eyJoZGlkIjoiYTU0YmU4Nzg2MDRiOGJlNzcxODQ3MzhlZjEyYTBiM2QifQ==</vt:lpwstr>
  </property>
</Properties>
</file>